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8" w:type="dxa"/>
        <w:jc w:val="center"/>
        <w:tblLook w:val="04A0" w:firstRow="1" w:lastRow="0" w:firstColumn="1" w:lastColumn="0" w:noHBand="0" w:noVBand="1"/>
      </w:tblPr>
      <w:tblGrid>
        <w:gridCol w:w="5091"/>
        <w:gridCol w:w="296"/>
        <w:gridCol w:w="4611"/>
      </w:tblGrid>
      <w:tr w:rsidR="001B3380">
        <w:trPr>
          <w:trHeight w:val="1134"/>
          <w:jc w:val="center"/>
        </w:trPr>
        <w:tc>
          <w:tcPr>
            <w:tcW w:w="5091" w:type="dxa"/>
            <w:vAlign w:val="center"/>
          </w:tcPr>
          <w:p w:rsidR="001B3380" w:rsidRDefault="0031515B">
            <w:pPr>
              <w:jc w:val="center"/>
              <w:rPr>
                <w:rFonts w:eastAsia="Calibri"/>
              </w:rPr>
            </w:pPr>
            <w:bookmarkStart w:id="0" w:name="_GoBack"/>
            <w:bookmarkEnd w:id="0"/>
            <w:r>
              <w:rPr>
                <w:rFonts w:eastAsia="Calibri"/>
                <w:noProof/>
              </w:rPr>
              <w:drawing>
                <wp:inline distT="0" distB="0" distL="0" distR="0">
                  <wp:extent cx="771525" cy="771525"/>
                  <wp:effectExtent l="0" t="0" r="9525" b="9525"/>
                  <wp:docPr id="4" name="Picture 4" descr="C:\Users\MIC\Desktop\TT-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Desktop\TT-T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296" w:type="dxa"/>
          </w:tcPr>
          <w:p w:rsidR="001B3380" w:rsidRDefault="001B3380">
            <w:pPr>
              <w:jc w:val="center"/>
              <w:rPr>
                <w:noProof/>
              </w:rPr>
            </w:pPr>
          </w:p>
        </w:tc>
        <w:tc>
          <w:tcPr>
            <w:tcW w:w="4611" w:type="dxa"/>
            <w:vAlign w:val="center"/>
          </w:tcPr>
          <w:p w:rsidR="001B3380" w:rsidRDefault="0031515B">
            <w:pPr>
              <w:jc w:val="center"/>
              <w:rPr>
                <w:rFonts w:eastAsia="Calibri"/>
              </w:rPr>
            </w:pPr>
            <w:r>
              <w:rPr>
                <w:noProof/>
              </w:rPr>
              <w:drawing>
                <wp:inline distT="0" distB="0" distL="0" distR="0">
                  <wp:extent cx="715645" cy="72326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723265"/>
                          </a:xfrm>
                          <a:prstGeom prst="rect">
                            <a:avLst/>
                          </a:prstGeom>
                          <a:noFill/>
                          <a:ln>
                            <a:noFill/>
                          </a:ln>
                        </pic:spPr>
                      </pic:pic>
                    </a:graphicData>
                  </a:graphic>
                </wp:inline>
              </w:drawing>
            </w:r>
          </w:p>
        </w:tc>
      </w:tr>
      <w:tr w:rsidR="001B3380">
        <w:trPr>
          <w:jc w:val="center"/>
        </w:trPr>
        <w:tc>
          <w:tcPr>
            <w:tcW w:w="5091" w:type="dxa"/>
            <w:vAlign w:val="center"/>
          </w:tcPr>
          <w:p w:rsidR="001B3380" w:rsidRDefault="001B3380">
            <w:pPr>
              <w:jc w:val="center"/>
              <w:rPr>
                <w:b/>
              </w:rPr>
            </w:pPr>
          </w:p>
          <w:p w:rsidR="001B3380" w:rsidRDefault="0031515B">
            <w:pPr>
              <w:jc w:val="center"/>
              <w:rPr>
                <w:b/>
                <w:spacing w:val="-4"/>
              </w:rPr>
            </w:pPr>
            <w:r>
              <w:rPr>
                <w:b/>
                <w:spacing w:val="-4"/>
              </w:rPr>
              <w:t>BỘ THÔNG TIN VÀ TRUYỀN THÔNG</w:t>
            </w:r>
          </w:p>
          <w:p w:rsidR="001B3380" w:rsidRDefault="001B3380">
            <w:pPr>
              <w:jc w:val="center"/>
              <w:rPr>
                <w:b/>
              </w:rPr>
            </w:pPr>
          </w:p>
        </w:tc>
        <w:tc>
          <w:tcPr>
            <w:tcW w:w="296" w:type="dxa"/>
          </w:tcPr>
          <w:p w:rsidR="001B3380" w:rsidRDefault="001B3380">
            <w:pPr>
              <w:jc w:val="center"/>
              <w:rPr>
                <w:b/>
              </w:rPr>
            </w:pPr>
          </w:p>
        </w:tc>
        <w:tc>
          <w:tcPr>
            <w:tcW w:w="4611" w:type="dxa"/>
            <w:vAlign w:val="center"/>
          </w:tcPr>
          <w:p w:rsidR="001B3380" w:rsidRDefault="0031515B">
            <w:pPr>
              <w:jc w:val="center"/>
              <w:rPr>
                <w:b/>
              </w:rPr>
            </w:pPr>
            <w:r>
              <w:rPr>
                <w:b/>
              </w:rPr>
              <w:t xml:space="preserve">ỦY BAN NHÂN DÂN </w:t>
            </w:r>
          </w:p>
          <w:p w:rsidR="001B3380" w:rsidRDefault="0031515B">
            <w:pPr>
              <w:jc w:val="center"/>
              <w:rPr>
                <w:b/>
                <w:lang w:val="vi-VN"/>
              </w:rPr>
            </w:pPr>
            <w:r>
              <w:rPr>
                <w:b/>
              </w:rPr>
              <w:t>TỈNH NINH</w:t>
            </w:r>
            <w:r>
              <w:rPr>
                <w:b/>
                <w:lang w:val="vi-VN"/>
              </w:rPr>
              <w:t xml:space="preserve"> THUẬN</w:t>
            </w:r>
          </w:p>
        </w:tc>
      </w:tr>
    </w:tbl>
    <w:p w:rsidR="001B3380" w:rsidRDefault="0031515B">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-107950</wp:posOffset>
                </wp:positionV>
                <wp:extent cx="1432560" cy="478790"/>
                <wp:effectExtent l="13335" t="8255" r="1143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478790"/>
                        </a:xfrm>
                        <a:prstGeom prst="rect">
                          <a:avLst/>
                        </a:prstGeom>
                        <a:solidFill>
                          <a:srgbClr val="FFFFFF"/>
                        </a:solidFill>
                        <a:ln w="9525">
                          <a:solidFill>
                            <a:srgbClr val="000000"/>
                          </a:solidFill>
                          <a:miter lim="800000"/>
                          <a:headEnd/>
                          <a:tailEnd/>
                        </a:ln>
                      </wps:spPr>
                      <wps:txbx>
                        <w:txbxContent>
                          <w:p w:rsidR="001B3380" w:rsidRDefault="0031515B">
                            <w:pPr>
                              <w:jc w:val="center"/>
                              <w:rPr>
                                <w:b/>
                                <w:bCs/>
                              </w:rPr>
                            </w:pPr>
                            <w:r>
                              <w:rPr>
                                <w:b/>
                                <w:bCs/>
                              </w:rPr>
                              <w:t>DỰ THẢO</w:t>
                            </w:r>
                          </w:p>
                          <w:p w:rsidR="001B3380" w:rsidRDefault="0031515B">
                            <w:pPr>
                              <w:jc w:val="center"/>
                              <w:rPr>
                                <w:b/>
                                <w:bCs/>
                                <w:lang w:val="vi-VN"/>
                              </w:rPr>
                            </w:pPr>
                            <w:r>
                              <w:rPr>
                                <w:b/>
                                <w:bCs/>
                              </w:rPr>
                              <w:t xml:space="preserve">Ngày </w:t>
                            </w:r>
                            <w:r>
                              <w:rPr>
                                <w:b/>
                                <w:bCs/>
                                <w:lang w:val="vi-VN"/>
                              </w:rPr>
                              <w:t>1</w:t>
                            </w:r>
                            <w:r>
                              <w:rPr>
                                <w:b/>
                                <w:bCs/>
                              </w:rPr>
                              <w:t>5/9/</w:t>
                            </w:r>
                            <w:r>
                              <w:rPr>
                                <w:b/>
                                <w:bCs/>
                                <w:lang w:val="vi-VN"/>
                              </w:rPr>
                              <w:t>20</w:t>
                            </w:r>
                            <w:r>
                              <w:rPr>
                                <w:b/>
                                <w:bCs/>
                              </w:rPr>
                              <w:t>2</w:t>
                            </w:r>
                            <w:r>
                              <w:rPr>
                                <w:b/>
                                <w:bCs/>
                                <w:lang w:val="vi-V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2.25pt;margin-top:-8.5pt;width:112.8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">
                <v:textbox>
                  <w:txbxContent>
                    <w:p w:rsidR="001B3380" w:rsidRDefault="0031515B">
                      <w:pPr>
                        <w:jc w:val="center"/>
                        <w:rPr>
                          <w:b/>
                          <w:bCs/>
                        </w:rPr>
                      </w:pPr>
                      <w:r>
                        <w:rPr>
                          <w:b/>
                          <w:bCs/>
                        </w:rPr>
                        <w:t>DỰ THẢO</w:t>
                      </w:r>
                    </w:p>
                    <w:p w:rsidR="001B3380" w:rsidRDefault="0031515B">
                      <w:pPr>
                        <w:jc w:val="center"/>
                        <w:rPr>
                          <w:b/>
                          <w:bCs/>
                          <w:lang w:val="vi-VN"/>
                        </w:rPr>
                      </w:pPr>
                      <w:r>
                        <w:rPr>
                          <w:b/>
                          <w:bCs/>
                        </w:rPr>
                        <w:t xml:space="preserve">Ngày </w:t>
                      </w:r>
                      <w:r>
                        <w:rPr>
                          <w:b/>
                          <w:bCs/>
                          <w:lang w:val="vi-VN"/>
                        </w:rPr>
                        <w:t>1</w:t>
                      </w:r>
                      <w:r>
                        <w:rPr>
                          <w:b/>
                          <w:bCs/>
                        </w:rPr>
                        <w:t>5/9/</w:t>
                      </w:r>
                      <w:r>
                        <w:rPr>
                          <w:b/>
                          <w:bCs/>
                          <w:lang w:val="vi-VN"/>
                        </w:rPr>
                        <w:t>20</w:t>
                      </w:r>
                      <w:r>
                        <w:rPr>
                          <w:b/>
                          <w:bCs/>
                        </w:rPr>
                        <w:t>2</w:t>
                      </w:r>
                      <w:r>
                        <w:rPr>
                          <w:b/>
                          <w:bCs/>
                          <w:lang w:val="vi-VN"/>
                        </w:rPr>
                        <w:t>3</w:t>
                      </w:r>
                    </w:p>
                  </w:txbxContent>
                </v:textbox>
              </v:rect>
            </w:pict>
          </mc:Fallback>
        </mc:AlternateContent>
      </w:r>
    </w:p>
    <w:p w:rsidR="001B3380" w:rsidRDefault="0031515B">
      <w:pPr>
        <w:spacing w:line="264" w:lineRule="auto"/>
        <w:jc w:val="center"/>
        <w:rPr>
          <w:b/>
        </w:rPr>
      </w:pPr>
      <w:r>
        <w:rPr>
          <w:b/>
        </w:rPr>
        <w:t>BIÊN BẢN GHI NHỚ</w:t>
      </w:r>
    </w:p>
    <w:p w:rsidR="001B3380" w:rsidRDefault="0031515B">
      <w:pPr>
        <w:spacing w:line="264" w:lineRule="auto"/>
        <w:jc w:val="center"/>
        <w:rPr>
          <w:b/>
        </w:rPr>
      </w:pPr>
      <w:r>
        <w:rPr>
          <w:b/>
        </w:rPr>
        <w:t>GIỮA BỘ THÔNG TIN VÀ TRUYỀN THÔNG</w:t>
      </w:r>
    </w:p>
    <w:p w:rsidR="001B3380" w:rsidRDefault="0031515B">
      <w:pPr>
        <w:spacing w:line="264" w:lineRule="auto"/>
        <w:jc w:val="center"/>
        <w:rPr>
          <w:b/>
          <w:lang w:val="vi-VN"/>
        </w:rPr>
      </w:pPr>
      <w:r>
        <w:rPr>
          <w:b/>
        </w:rPr>
        <w:t>VÀ ỦY BAN NHÂN DÂN TỈNH NINH</w:t>
      </w:r>
      <w:r>
        <w:rPr>
          <w:b/>
          <w:lang w:val="vi-VN"/>
        </w:rPr>
        <w:t xml:space="preserve"> THUẬN</w:t>
      </w:r>
    </w:p>
    <w:p w:rsidR="001B3380" w:rsidRDefault="0031515B">
      <w:pPr>
        <w:spacing w:line="264" w:lineRule="auto"/>
        <w:jc w:val="center"/>
        <w:rPr>
          <w:b/>
          <w:lang w:val="vi-VN"/>
        </w:rPr>
      </w:pPr>
      <w:r>
        <w:rPr>
          <w:b/>
        </w:rPr>
        <w:t>VỀ PHỐI HỢP THÚC ĐẨY CHUYỂN ĐỔI SỐ GIAI ĐOẠN 202</w:t>
      </w:r>
      <w:r>
        <w:rPr>
          <w:b/>
          <w:lang w:val="vi-VN"/>
        </w:rPr>
        <w:t>3</w:t>
      </w:r>
      <w:r>
        <w:rPr>
          <w:b/>
        </w:rPr>
        <w:t xml:space="preserve"> - 202</w:t>
      </w:r>
      <w:r>
        <w:rPr>
          <w:b/>
          <w:lang w:val="vi-VN"/>
        </w:rPr>
        <w:t>5</w:t>
      </w:r>
    </w:p>
    <w:p w:rsidR="001B3380" w:rsidRDefault="001B3380">
      <w:pPr>
        <w:spacing w:before="60"/>
        <w:jc w:val="center"/>
        <w:rPr>
          <w:b/>
        </w:rPr>
      </w:pPr>
    </w:p>
    <w:p w:rsidR="001B3380" w:rsidRDefault="0031515B">
      <w:pPr>
        <w:widowControl w:val="0"/>
        <w:snapToGrid w:val="0"/>
        <w:spacing w:before="120"/>
        <w:ind w:firstLine="567"/>
        <w:jc w:val="both"/>
      </w:pPr>
      <w:r>
        <w:rPr>
          <w:lang w:val="vi-VN"/>
        </w:rPr>
        <w:t>Căn cứ Luật Công nghệ thông tin số 67/2006/QH11 ngày 29/6/2006</w:t>
      </w:r>
      <w:r>
        <w:t>;</w:t>
      </w:r>
    </w:p>
    <w:p w:rsidR="001B3380" w:rsidRDefault="0031515B">
      <w:pPr>
        <w:widowControl w:val="0"/>
        <w:snapToGrid w:val="0"/>
        <w:spacing w:before="120"/>
        <w:ind w:firstLine="567"/>
        <w:jc w:val="both"/>
        <w:rPr>
          <w:lang w:val="vi-VN"/>
        </w:rPr>
      </w:pPr>
      <w:r>
        <w:rPr>
          <w:lang w:val="vi-VN"/>
        </w:rPr>
        <w:t>Căn cứ Luật Tổ chức Chính quyền địa phương ngày 19/6/2015 và Luật sửa đổi, bổ sung một số điều của Luật Tổ chức Chính phủ và Luật Tổ chức chính quyền địa phương ngày 22/11/2019;</w:t>
      </w:r>
    </w:p>
    <w:p w:rsidR="001B3380" w:rsidRDefault="0031515B">
      <w:pPr>
        <w:widowControl w:val="0"/>
        <w:snapToGrid w:val="0"/>
        <w:spacing w:before="120"/>
        <w:ind w:firstLine="567"/>
        <w:jc w:val="both"/>
        <w:rPr>
          <w:lang w:val="vi-VN"/>
        </w:rPr>
      </w:pPr>
      <w:r>
        <w:t>Căn cứ</w:t>
      </w:r>
      <w:r>
        <w:rPr>
          <w:lang w:val="vi-VN"/>
        </w:rPr>
        <w:t xml:space="preserve"> Nghị quyết số </w:t>
      </w:r>
      <w:r>
        <w:t>52</w:t>
      </w:r>
      <w:r>
        <w:rPr>
          <w:lang w:val="vi-VN"/>
        </w:rPr>
        <w:t>-NQ/TW ngày 27/9/2019 của Bộ Chính trị về một số chủ trương, chính sách chủ động tham gia cuộc Cách mạng công nghiệp lần thứ tư;</w:t>
      </w:r>
    </w:p>
    <w:p w:rsidR="001B3380" w:rsidRDefault="0031515B">
      <w:pPr>
        <w:widowControl w:val="0"/>
        <w:snapToGrid w:val="0"/>
        <w:spacing w:before="120"/>
        <w:ind w:firstLine="567"/>
        <w:jc w:val="both"/>
        <w:rPr>
          <w:lang w:val="vi-VN"/>
        </w:rPr>
      </w:pPr>
      <w:r>
        <w:t>Căn cứ</w:t>
      </w:r>
      <w:r>
        <w:rPr>
          <w:lang w:val="vi-VN"/>
        </w:rPr>
        <w:t xml:space="preserve"> Nghị định số 64/2007/NĐ-CP ngày 10/4/2007 của Chính phủ về ứng dụng công nghệ thông tin trong hoạt động của cơ quan nhà nước;</w:t>
      </w:r>
    </w:p>
    <w:p w:rsidR="001B3380" w:rsidRDefault="0031515B">
      <w:pPr>
        <w:widowControl w:val="0"/>
        <w:snapToGrid w:val="0"/>
        <w:spacing w:before="120"/>
        <w:ind w:firstLine="567"/>
        <w:jc w:val="both"/>
        <w:rPr>
          <w:lang w:val="vi-VN"/>
        </w:rPr>
      </w:pPr>
      <w:r>
        <w:rPr>
          <w:lang w:val="vi-VN"/>
        </w:rPr>
        <w:t>Căn cứ Nghị định số 17/2017/NĐ-CP ngày 17/02/2017 của Chính phủ quy định chức năng, nhiệm vụ, quyền hạn và cơ cấu tổ chức của Bộ Thông tin và Truyền thông;</w:t>
      </w:r>
    </w:p>
    <w:p w:rsidR="001B3380" w:rsidRDefault="0031515B">
      <w:pPr>
        <w:widowControl w:val="0"/>
        <w:snapToGrid w:val="0"/>
        <w:spacing w:before="120"/>
        <w:ind w:firstLine="567"/>
        <w:jc w:val="both"/>
      </w:pPr>
      <w:r>
        <w:t>Căn cứ Nghị quyết số 50/NQ-CP ngày 17/4/2020 của Chính phủ ban hành Chương trình hành động của Chính phủ thực hiện Nghị quyết số 52-NQ/TW ngày 27/9/2019 của Bộ Chính trị về một số chủ trương, chính sách chủ động tham gia cuộc Cách mạng công nghiệp lần thứ tư;</w:t>
      </w:r>
    </w:p>
    <w:p w:rsidR="001B3380" w:rsidRDefault="0031515B">
      <w:pPr>
        <w:widowControl w:val="0"/>
        <w:snapToGrid w:val="0"/>
        <w:spacing w:before="120"/>
        <w:ind w:firstLine="567"/>
        <w:jc w:val="both"/>
        <w:rPr>
          <w:lang w:val="vi-VN"/>
        </w:rPr>
      </w:pPr>
      <w:r>
        <w:rPr>
          <w:lang w:val="vi-VN"/>
        </w:rPr>
        <w:t>Căn cứ Quyết định số 749/QĐ-TTg ngày 03/6/2020 của Thủ tướng Chính phủ về việc phê duyệt “Chương trình Chuyển đổi số quốc gia đến năm 2025, định hướng đến năm 2030”;</w:t>
      </w:r>
    </w:p>
    <w:p w:rsidR="001B3380" w:rsidRDefault="0031515B">
      <w:pPr>
        <w:widowControl w:val="0"/>
        <w:spacing w:before="120"/>
        <w:ind w:firstLine="567"/>
        <w:jc w:val="both"/>
        <w:rPr>
          <w:lang w:val="vi-VN"/>
        </w:rPr>
      </w:pPr>
      <w:r>
        <w:rPr>
          <w:lang w:val="vi-VN"/>
        </w:rPr>
        <w:t>Căn cứ Quyết định số 942/QĐ-TTg ngày 15/6/2021 của Thủ tướng Chính phủ phê duyệt “Chiến lược phát triển Chính phủ điện tử hướng tới Chính phủ số giai đoạn 2021 - 2025, định hướng đến năm 2030”;</w:t>
      </w:r>
    </w:p>
    <w:p w:rsidR="001B3380" w:rsidRDefault="0031515B">
      <w:pPr>
        <w:widowControl w:val="0"/>
        <w:spacing w:before="120"/>
        <w:ind w:firstLine="567"/>
        <w:jc w:val="both"/>
        <w:rPr>
          <w:lang w:val="vi-VN"/>
        </w:rPr>
      </w:pPr>
      <w:r>
        <w:rPr>
          <w:lang w:val="vi-VN"/>
        </w:rPr>
        <w:t xml:space="preserve">Căn cứ Quyết định số 950/QĐ-TTg ngày 01/8/2018 của Thủ tướng Chính phủ phê duyệt Đề án phát triển đô thị thông minh bền vững Việt Nam giai đoạn 2018 </w:t>
      </w:r>
      <w:r>
        <w:t>-</w:t>
      </w:r>
      <w:r>
        <w:rPr>
          <w:lang w:val="vi-VN"/>
        </w:rPr>
        <w:t xml:space="preserve"> 2025 và định hướng đến năm 2030;</w:t>
      </w:r>
    </w:p>
    <w:p w:rsidR="001B3380" w:rsidRDefault="0031515B">
      <w:pPr>
        <w:pStyle w:val="NormalWeb"/>
        <w:spacing w:before="120" w:beforeAutospacing="0" w:after="0" w:afterAutospacing="0"/>
        <w:ind w:firstLine="567"/>
        <w:jc w:val="both"/>
        <w:rPr>
          <w:spacing w:val="-4"/>
          <w:sz w:val="28"/>
          <w:lang w:val="it-IT"/>
        </w:rPr>
      </w:pPr>
      <w:r>
        <w:rPr>
          <w:spacing w:val="-4"/>
          <w:sz w:val="28"/>
          <w:lang w:val="it-IT"/>
        </w:rPr>
        <w:t xml:space="preserve">Căn cứ </w:t>
      </w:r>
      <w:r>
        <w:rPr>
          <w:sz w:val="28"/>
        </w:rPr>
        <w:t>Nghị quyết số 0</w:t>
      </w:r>
      <w:r>
        <w:rPr>
          <w:sz w:val="28"/>
          <w:lang w:val="vi-VN"/>
        </w:rPr>
        <w:t>9</w:t>
      </w:r>
      <w:r>
        <w:rPr>
          <w:sz w:val="28"/>
        </w:rPr>
        <w:t>-NQ/TU ngày 2</w:t>
      </w:r>
      <w:r>
        <w:rPr>
          <w:sz w:val="28"/>
          <w:lang w:val="vi-VN"/>
        </w:rPr>
        <w:t>9</w:t>
      </w:r>
      <w:r>
        <w:rPr>
          <w:sz w:val="28"/>
        </w:rPr>
        <w:t>/</w:t>
      </w:r>
      <w:r>
        <w:rPr>
          <w:sz w:val="28"/>
          <w:lang w:val="vi-VN"/>
        </w:rPr>
        <w:t>11</w:t>
      </w:r>
      <w:r>
        <w:rPr>
          <w:sz w:val="28"/>
        </w:rPr>
        <w:t>/202</w:t>
      </w:r>
      <w:r>
        <w:rPr>
          <w:sz w:val="28"/>
          <w:lang w:val="vi-VN"/>
        </w:rPr>
        <w:t>1</w:t>
      </w:r>
      <w:r>
        <w:rPr>
          <w:sz w:val="28"/>
        </w:rPr>
        <w:t xml:space="preserve"> của Ban </w:t>
      </w:r>
      <w:r>
        <w:rPr>
          <w:sz w:val="28"/>
          <w:lang w:val="vi-VN"/>
        </w:rPr>
        <w:t xml:space="preserve">Thường vụ Tỉnh uỷ </w:t>
      </w:r>
      <w:r>
        <w:rPr>
          <w:sz w:val="28"/>
        </w:rPr>
        <w:t>về chuyển đổi số tỉnh Ninh Thuận</w:t>
      </w:r>
      <w:r>
        <w:rPr>
          <w:sz w:val="28"/>
          <w:lang w:val="vi-VN"/>
        </w:rPr>
        <w:t xml:space="preserve"> giai đoạn 2021 - </w:t>
      </w:r>
      <w:r>
        <w:rPr>
          <w:sz w:val="28"/>
        </w:rPr>
        <w:t xml:space="preserve">2025, </w:t>
      </w:r>
      <w:r>
        <w:rPr>
          <w:sz w:val="28"/>
          <w:lang w:val="vi-VN"/>
        </w:rPr>
        <w:t xml:space="preserve">tầm nhìn </w:t>
      </w:r>
      <w:r>
        <w:rPr>
          <w:sz w:val="28"/>
        </w:rPr>
        <w:t>đến năm 2030</w:t>
      </w:r>
      <w:r>
        <w:rPr>
          <w:spacing w:val="-4"/>
          <w:sz w:val="28"/>
          <w:lang w:val="it-IT"/>
        </w:rPr>
        <w:t>;</w:t>
      </w:r>
    </w:p>
    <w:p w:rsidR="001B3380" w:rsidRDefault="0031515B">
      <w:pPr>
        <w:pStyle w:val="NormalWeb"/>
        <w:spacing w:before="120" w:beforeAutospacing="0" w:after="0" w:afterAutospacing="0"/>
        <w:ind w:firstLine="567"/>
        <w:jc w:val="both"/>
        <w:rPr>
          <w:spacing w:val="-4"/>
          <w:sz w:val="28"/>
          <w:lang w:val="it-IT"/>
        </w:rPr>
      </w:pPr>
      <w:r>
        <w:rPr>
          <w:sz w:val="28"/>
          <w:lang w:val="vi-VN"/>
        </w:rPr>
        <w:lastRenderedPageBreak/>
        <w:t xml:space="preserve">Căn cứ </w:t>
      </w:r>
      <w:r>
        <w:rPr>
          <w:sz w:val="28"/>
        </w:rPr>
        <w:t>Quyết định số 96/QĐ-UBND ngày 02/02/2022 của Chủ tịch Ủy ban nhân dân tỉnh về việc ban hành Kế hoạch thực hiện Chương trình hành động số 59-CTr/BCSĐ ngày 27/01/2022 của Ban Cán sự Đảng Ủy ban nhân dân tỉnh thực hiện Nghị quyết số 09-NQ/TU ngày 29/11/2021 của Ban Thường vụ Tỉnh ủy về chuyển đổi số tỉnh Ninh Thuận giai đoạn 2021-2025, tầm nhìn đến 2030;</w:t>
      </w:r>
    </w:p>
    <w:p w:rsidR="001B3380" w:rsidRDefault="0031515B">
      <w:pPr>
        <w:pStyle w:val="NormalWeb"/>
        <w:spacing w:before="120" w:beforeAutospacing="0" w:after="0" w:afterAutospacing="0"/>
        <w:ind w:firstLine="567"/>
        <w:jc w:val="both"/>
        <w:rPr>
          <w:spacing w:val="-4"/>
          <w:sz w:val="28"/>
          <w:lang w:val="it-IT"/>
        </w:rPr>
      </w:pPr>
      <w:r>
        <w:rPr>
          <w:bCs/>
          <w:sz w:val="28"/>
        </w:rPr>
        <w:t xml:space="preserve">Căn cứ Quyết định số </w:t>
      </w:r>
      <w:r>
        <w:rPr>
          <w:bCs/>
          <w:sz w:val="28"/>
          <w:lang w:val="vi-VN"/>
        </w:rPr>
        <w:t>3420</w:t>
      </w:r>
      <w:r>
        <w:rPr>
          <w:bCs/>
          <w:sz w:val="28"/>
        </w:rPr>
        <w:t>/</w:t>
      </w:r>
      <w:r>
        <w:rPr>
          <w:bCs/>
          <w:sz w:val="28"/>
          <w:lang w:val="vi-VN"/>
        </w:rPr>
        <w:t>KH</w:t>
      </w:r>
      <w:r>
        <w:rPr>
          <w:bCs/>
          <w:sz w:val="28"/>
        </w:rPr>
        <w:t xml:space="preserve">-UBND ngày </w:t>
      </w:r>
      <w:r>
        <w:rPr>
          <w:bCs/>
          <w:sz w:val="28"/>
          <w:lang w:val="vi-VN"/>
        </w:rPr>
        <w:t>05</w:t>
      </w:r>
      <w:r>
        <w:rPr>
          <w:bCs/>
          <w:sz w:val="28"/>
        </w:rPr>
        <w:t>/</w:t>
      </w:r>
      <w:r>
        <w:rPr>
          <w:bCs/>
          <w:sz w:val="28"/>
          <w:lang w:val="vi-VN"/>
        </w:rPr>
        <w:t>8</w:t>
      </w:r>
      <w:r>
        <w:rPr>
          <w:bCs/>
          <w:sz w:val="28"/>
        </w:rPr>
        <w:t>/202</w:t>
      </w:r>
      <w:r>
        <w:rPr>
          <w:bCs/>
          <w:sz w:val="28"/>
          <w:lang w:val="vi-VN"/>
        </w:rPr>
        <w:t>2</w:t>
      </w:r>
      <w:r>
        <w:rPr>
          <w:bCs/>
          <w:sz w:val="28"/>
        </w:rPr>
        <w:t xml:space="preserve"> của </w:t>
      </w:r>
      <w:r>
        <w:rPr>
          <w:spacing w:val="-4"/>
          <w:sz w:val="28"/>
          <w:lang w:val="da-DK"/>
        </w:rPr>
        <w:t>Ủy ban nhân dân</w:t>
      </w:r>
      <w:r>
        <w:rPr>
          <w:bCs/>
          <w:sz w:val="28"/>
        </w:rPr>
        <w:t xml:space="preserve"> tỉnh </w:t>
      </w:r>
      <w:r>
        <w:rPr>
          <w:bCs/>
          <w:sz w:val="28"/>
          <w:lang w:val="vi-VN"/>
        </w:rPr>
        <w:t xml:space="preserve">Ninh Thuận </w:t>
      </w:r>
      <w:r>
        <w:rPr>
          <w:bCs/>
          <w:sz w:val="28"/>
        </w:rPr>
        <w:t xml:space="preserve">về </w:t>
      </w:r>
      <w:r>
        <w:rPr>
          <w:sz w:val="28"/>
        </w:rPr>
        <w:t>Phát động Phong trào thi đua “Chuyển đổi số giai đoạn 2021 - 2025” trên địa bàn tỉnh Ninh Thuận</w:t>
      </w:r>
      <w:r>
        <w:rPr>
          <w:bCs/>
          <w:sz w:val="28"/>
          <w:lang w:val="it-IT"/>
        </w:rPr>
        <w:t>;</w:t>
      </w:r>
    </w:p>
    <w:p w:rsidR="001B3380" w:rsidRDefault="0031515B">
      <w:pPr>
        <w:widowControl w:val="0"/>
        <w:tabs>
          <w:tab w:val="left" w:pos="540"/>
        </w:tabs>
        <w:spacing w:before="120"/>
        <w:ind w:firstLine="567"/>
        <w:jc w:val="both"/>
        <w:rPr>
          <w:b/>
          <w:bCs/>
          <w:spacing w:val="-4"/>
          <w:lang w:val="da-DK"/>
        </w:rPr>
      </w:pPr>
      <w:r>
        <w:rPr>
          <w:spacing w:val="-4"/>
          <w:lang w:val="da-DK"/>
        </w:rPr>
        <w:t xml:space="preserve">Hôm nay, ngày      </w:t>
      </w:r>
      <w:r>
        <w:rPr>
          <w:spacing w:val="-4"/>
          <w:lang w:val="vi-VN"/>
        </w:rPr>
        <w:t>tháng</w:t>
      </w:r>
      <w:r>
        <w:rPr>
          <w:spacing w:val="-4"/>
          <w:lang w:val="da-DK"/>
        </w:rPr>
        <w:t xml:space="preserve"> </w:t>
      </w:r>
      <w:r w:rsidR="00A3123E">
        <w:rPr>
          <w:spacing w:val="-4"/>
        </w:rPr>
        <w:t>…</w:t>
      </w:r>
      <w:r>
        <w:rPr>
          <w:spacing w:val="-4"/>
          <w:lang w:val="da-DK"/>
        </w:rPr>
        <w:t xml:space="preserve"> năm 202</w:t>
      </w:r>
      <w:r w:rsidR="00A3123E">
        <w:rPr>
          <w:spacing w:val="-4"/>
          <w:lang w:val="da-DK"/>
        </w:rPr>
        <w:t>4</w:t>
      </w:r>
      <w:r>
        <w:rPr>
          <w:spacing w:val="-4"/>
          <w:lang w:val="da-DK"/>
        </w:rPr>
        <w:t>, tại trụ sở Ủy ban nhân dân tỉnh Ninh Thuận</w:t>
      </w:r>
      <w:r>
        <w:rPr>
          <w:spacing w:val="-4"/>
          <w:lang w:val="vi-VN"/>
        </w:rPr>
        <w:t xml:space="preserve"> </w:t>
      </w:r>
      <w:r>
        <w:rPr>
          <w:spacing w:val="-4"/>
          <w:lang w:val="da-DK"/>
        </w:rPr>
        <w:t>(số 450, Thống Nhất, thành phố Phan Rang - Tháp Chàm, Ninh Thuận), Bộ Thông tin và Truyền thông và Ủy ban nhân dân tỉnh Ninh Thuận</w:t>
      </w:r>
      <w:r>
        <w:rPr>
          <w:spacing w:val="-4"/>
          <w:lang w:val="vi-VN"/>
        </w:rPr>
        <w:t xml:space="preserve"> </w:t>
      </w:r>
      <w:r>
        <w:rPr>
          <w:spacing w:val="-4"/>
          <w:lang w:val="da-DK"/>
        </w:rPr>
        <w:t>thống nhất triển</w:t>
      </w:r>
      <w:r>
        <w:rPr>
          <w:spacing w:val="-4"/>
          <w:lang w:val="vi-VN"/>
        </w:rPr>
        <w:t xml:space="preserve"> khai Chương trình phối hợp thúc đẩy chuyển đổi số cho </w:t>
      </w:r>
      <w:r>
        <w:rPr>
          <w:spacing w:val="-4"/>
          <w:lang w:val="da-DK"/>
        </w:rPr>
        <w:t>tỉnh Ninh Thuận</w:t>
      </w:r>
      <w:r>
        <w:rPr>
          <w:spacing w:val="-4"/>
          <w:lang w:val="vi-VN"/>
        </w:rPr>
        <w:t xml:space="preserve"> </w:t>
      </w:r>
      <w:r>
        <w:rPr>
          <w:spacing w:val="-4"/>
          <w:lang w:val="nb-NO"/>
        </w:rPr>
        <w:t>giai đoạn</w:t>
      </w:r>
      <w:r>
        <w:rPr>
          <w:spacing w:val="-4"/>
          <w:lang w:val="vi-VN"/>
        </w:rPr>
        <w:t xml:space="preserve"> 2023</w:t>
      </w:r>
      <w:r>
        <w:rPr>
          <w:spacing w:val="-4"/>
          <w:lang w:val="nb-NO"/>
        </w:rPr>
        <w:t xml:space="preserve"> - 202</w:t>
      </w:r>
      <w:r>
        <w:rPr>
          <w:spacing w:val="-4"/>
          <w:lang w:val="vi-VN"/>
        </w:rPr>
        <w:t>5</w:t>
      </w:r>
      <w:r>
        <w:rPr>
          <w:spacing w:val="-4"/>
          <w:lang w:val="nb-NO"/>
        </w:rPr>
        <w:t>,</w:t>
      </w:r>
      <w:r>
        <w:rPr>
          <w:spacing w:val="-4"/>
          <w:lang w:val="vi-VN"/>
        </w:rPr>
        <w:t xml:space="preserve"> </w:t>
      </w:r>
      <w:r>
        <w:rPr>
          <w:spacing w:val="-4"/>
        </w:rPr>
        <w:t xml:space="preserve">cụ thể </w:t>
      </w:r>
      <w:r>
        <w:rPr>
          <w:spacing w:val="-4"/>
          <w:lang w:val="vi-VN"/>
        </w:rPr>
        <w:t>như sau</w:t>
      </w:r>
      <w:r>
        <w:rPr>
          <w:spacing w:val="-4"/>
          <w:lang w:val="da-DK"/>
        </w:rPr>
        <w:t>:</w:t>
      </w:r>
    </w:p>
    <w:p w:rsidR="001B3380" w:rsidRDefault="0031515B">
      <w:pPr>
        <w:tabs>
          <w:tab w:val="left" w:pos="993"/>
        </w:tabs>
        <w:snapToGrid w:val="0"/>
        <w:spacing w:before="120"/>
        <w:ind w:firstLine="567"/>
        <w:jc w:val="both"/>
        <w:rPr>
          <w:b/>
          <w:lang w:val="da-DK"/>
        </w:rPr>
      </w:pPr>
      <w:r>
        <w:rPr>
          <w:b/>
          <w:lang w:val="vi-VN"/>
        </w:rPr>
        <w:t xml:space="preserve">I. MỤC ĐÍCH </w:t>
      </w:r>
      <w:r>
        <w:rPr>
          <w:b/>
          <w:lang w:val="da-DK"/>
        </w:rPr>
        <w:t>PHỐI HỢP</w:t>
      </w:r>
    </w:p>
    <w:p w:rsidR="001B3380" w:rsidRDefault="0031515B">
      <w:pPr>
        <w:snapToGrid w:val="0"/>
        <w:spacing w:before="120"/>
        <w:ind w:firstLine="567"/>
        <w:jc w:val="both"/>
        <w:rPr>
          <w:spacing w:val="-4"/>
          <w:lang w:val="vi-VN"/>
        </w:rPr>
      </w:pPr>
      <w:r>
        <w:rPr>
          <w:spacing w:val="-4"/>
          <w:lang w:val="vi-VN"/>
        </w:rPr>
        <w:t>Tăng cường sự phối hợp giữa Bộ Thông tin và Truyền thông và Ủy ban nhân dân tỉnh Ninh Thuận để thúc đẩy chuyển đổi số của tỉnh Ninh Thuận giai đoạn 2023</w:t>
      </w:r>
      <w:r>
        <w:rPr>
          <w:spacing w:val="-4"/>
        </w:rPr>
        <w:t xml:space="preserve"> </w:t>
      </w:r>
      <w:r>
        <w:rPr>
          <w:spacing w:val="-4"/>
          <w:lang w:val="vi-VN"/>
        </w:rPr>
        <w:t>-</w:t>
      </w:r>
      <w:r>
        <w:rPr>
          <w:spacing w:val="-4"/>
        </w:rPr>
        <w:t xml:space="preserve"> </w:t>
      </w:r>
      <w:r>
        <w:rPr>
          <w:spacing w:val="-4"/>
          <w:lang w:val="vi-VN"/>
        </w:rPr>
        <w:t>2025.</w:t>
      </w:r>
    </w:p>
    <w:p w:rsidR="001B3380" w:rsidRDefault="0031515B">
      <w:pPr>
        <w:snapToGrid w:val="0"/>
        <w:spacing w:before="120"/>
        <w:ind w:firstLine="567"/>
        <w:jc w:val="both"/>
        <w:rPr>
          <w:b/>
          <w:lang w:val="da-DK"/>
        </w:rPr>
      </w:pPr>
      <w:r>
        <w:rPr>
          <w:b/>
          <w:lang w:val="vi-VN"/>
        </w:rPr>
        <w:t xml:space="preserve">II. NGUYÊN TẮC </w:t>
      </w:r>
      <w:r>
        <w:rPr>
          <w:b/>
          <w:lang w:val="da-DK"/>
        </w:rPr>
        <w:t>PHỐI HỢP</w:t>
      </w:r>
    </w:p>
    <w:p w:rsidR="001B3380" w:rsidRDefault="0031515B">
      <w:pPr>
        <w:snapToGrid w:val="0"/>
        <w:spacing w:before="120"/>
        <w:ind w:firstLine="567"/>
        <w:jc w:val="both"/>
        <w:rPr>
          <w:spacing w:val="-4"/>
          <w:lang w:val="vi-VN"/>
        </w:rPr>
      </w:pPr>
      <w:r>
        <w:rPr>
          <w:spacing w:val="-4"/>
          <w:lang w:val="vi-VN"/>
        </w:rPr>
        <w:t xml:space="preserve">1. </w:t>
      </w:r>
      <w:r>
        <w:rPr>
          <w:lang w:val="vi-VN"/>
        </w:rPr>
        <w:t xml:space="preserve">Bộ Thông tin và Truyền thông và Ủy ban nhân dân tỉnh Ninh Thuận chủ động, tích cực trao đổi thông tin và phối hợp trong chỉ đạo </w:t>
      </w:r>
      <w:r>
        <w:rPr>
          <w:lang w:val="da-DK"/>
        </w:rPr>
        <w:t>hoạt động thúc đẩy chuyển đổi số tỉnh Ninh</w:t>
      </w:r>
      <w:r>
        <w:rPr>
          <w:lang w:val="vi-VN"/>
        </w:rPr>
        <w:t xml:space="preserve"> Thuận.</w:t>
      </w:r>
    </w:p>
    <w:p w:rsidR="001B3380" w:rsidRDefault="0031515B">
      <w:pPr>
        <w:snapToGrid w:val="0"/>
        <w:spacing w:before="120"/>
        <w:ind w:firstLine="567"/>
        <w:jc w:val="both"/>
        <w:rPr>
          <w:lang w:val="vi-VN"/>
        </w:rPr>
      </w:pPr>
      <w:r>
        <w:rPr>
          <w:lang w:val="vi-VN"/>
        </w:rPr>
        <w:t>2. Bộ Thông tin và Truyền thông chịu trách nhiệm:</w:t>
      </w:r>
    </w:p>
    <w:p w:rsidR="00A3123E" w:rsidRDefault="0031515B">
      <w:pPr>
        <w:snapToGrid w:val="0"/>
        <w:spacing w:before="120"/>
        <w:ind w:firstLine="567"/>
        <w:jc w:val="both"/>
      </w:pPr>
      <w:r>
        <w:rPr>
          <w:lang w:val="vi-VN"/>
        </w:rPr>
        <w:t xml:space="preserve">- Hỗ trợ </w:t>
      </w:r>
      <w:r>
        <w:t>tỉnh Ninh Thuận</w:t>
      </w:r>
      <w:r>
        <w:rPr>
          <w:lang w:val="vi-VN"/>
        </w:rPr>
        <w:t xml:space="preserve"> triển khai thực hiện quản lý nhà nước trong lĩnh vực thông tin và truyền thông </w:t>
      </w:r>
      <w:r w:rsidR="00A3123E">
        <w:t>năm 2024</w:t>
      </w:r>
      <w:r w:rsidR="00BB478E">
        <w:t xml:space="preserve">, </w:t>
      </w:r>
      <w:r w:rsidR="00BB478E" w:rsidRPr="00DE1076">
        <w:rPr>
          <w:rStyle w:val="fontstyle01"/>
        </w:rPr>
        <w:t xml:space="preserve">với chủ đề </w:t>
      </w:r>
      <w:r w:rsidR="00BB478E" w:rsidRPr="00DE1076">
        <w:t>“</w:t>
      </w:r>
      <w:r w:rsidR="00BB478E" w:rsidRPr="00DE1076">
        <w:rPr>
          <w:b/>
        </w:rPr>
        <w:t>Phát triển kinh tế số với 04 trụ cột công nghiệp công nghệ thông tin, số hóa các ngành kinh tế, quản trị số, dữ liệu số - Động lực quan trọng cho phát triển kinh tế - xã hội nhanh và bền vững</w:t>
      </w:r>
      <w:r w:rsidR="00BB478E" w:rsidRPr="00DE1076">
        <w:t>”.</w:t>
      </w:r>
    </w:p>
    <w:p w:rsidR="001B3380" w:rsidRDefault="0031515B" w:rsidP="00B7309C">
      <w:pPr>
        <w:snapToGrid w:val="0"/>
        <w:spacing w:before="120"/>
        <w:ind w:firstLine="567"/>
        <w:jc w:val="both"/>
        <w:rPr>
          <w:lang w:val="vi-VN"/>
        </w:rPr>
      </w:pPr>
      <w:r>
        <w:rPr>
          <w:lang w:val="vi-VN"/>
        </w:rPr>
        <w:t xml:space="preserve">- Hỗ trợ </w:t>
      </w:r>
      <w:r>
        <w:t>tỉnh Ninh Thuận</w:t>
      </w:r>
      <w:r>
        <w:rPr>
          <w:lang w:val="vi-VN"/>
        </w:rPr>
        <w:t xml:space="preserve"> phát triển mạng lưới bưu chính; phát triển hạ tầng viễn thông; triển khai xây dựng chính quyền</w:t>
      </w:r>
      <w:r w:rsidR="00BB478E">
        <w:t xml:space="preserve"> điện tử, chính quyền</w:t>
      </w:r>
      <w:r>
        <w:rPr>
          <w:lang w:val="vi-VN"/>
        </w:rPr>
        <w:t xml:space="preserve"> số</w:t>
      </w:r>
      <w:r w:rsidR="00BB478E">
        <w:t xml:space="preserve"> tỉnh Ninh Thuận tổng thể, toàn diện</w:t>
      </w:r>
      <w:r>
        <w:rPr>
          <w:lang w:val="vi-VN"/>
        </w:rPr>
        <w:t xml:space="preserve">, </w:t>
      </w:r>
      <w:r w:rsidR="00B7309C" w:rsidRPr="00DE1076">
        <w:t>tập trung khai thác, chia sẻ dữ liệu số hiệu quả giữa các cơ quan nhà nước trong tỉnh, chia sẻ dữ liệu tử cơ quan Trung ương nhằm phục vụ công tác chỉ đạo điều hành và hoạt động của người dân, doanh nghiệp</w:t>
      </w:r>
      <w:r>
        <w:rPr>
          <w:lang w:val="vi-VN"/>
        </w:rPr>
        <w:t>; bảo đảm an toàn thông tin trên không gian mạng; thúc đẩy sự phát triển của công nghiệp ICT, kinh tế số, xã hội số; quản lý báo chí, xuất bản, thông tin tuyên truyền.</w:t>
      </w:r>
    </w:p>
    <w:p w:rsidR="001B3380" w:rsidRDefault="0031515B">
      <w:pPr>
        <w:snapToGrid w:val="0"/>
        <w:spacing w:before="120"/>
        <w:ind w:firstLine="567"/>
        <w:jc w:val="both"/>
        <w:rPr>
          <w:lang w:val="vi-VN"/>
        </w:rPr>
      </w:pPr>
      <w:r>
        <w:rPr>
          <w:lang w:val="vi-VN"/>
        </w:rPr>
        <w:t xml:space="preserve">- </w:t>
      </w:r>
      <w:r>
        <w:rPr>
          <w:bCs/>
          <w:iCs/>
        </w:rPr>
        <w:t xml:space="preserve">Hướng dẫn hỗ trợ tỉnh Ninh Thuận </w:t>
      </w:r>
      <w:r>
        <w:rPr>
          <w:lang w:val="vi-VN"/>
        </w:rPr>
        <w:t>thực hiện công tác tuyên truyền, phổ biến kiến thức, nâng cao nhận thức về chuyển đổi số cho cán bộ, công chức, người dân và doanh nghiệp.</w:t>
      </w:r>
    </w:p>
    <w:p w:rsidR="001B3380" w:rsidRDefault="0031515B">
      <w:pPr>
        <w:snapToGrid w:val="0"/>
        <w:spacing w:before="120"/>
        <w:ind w:firstLine="567"/>
        <w:jc w:val="both"/>
        <w:rPr>
          <w:color w:val="000000"/>
          <w:lang w:val="vi-VN"/>
        </w:rPr>
      </w:pPr>
      <w:bookmarkStart w:id="1" w:name="_Hlk76721338"/>
      <w:r>
        <w:rPr>
          <w:color w:val="000000"/>
          <w:lang w:val="vi-VN"/>
        </w:rPr>
        <w:t xml:space="preserve">- </w:t>
      </w:r>
      <w:r>
        <w:rPr>
          <w:color w:val="000000"/>
        </w:rPr>
        <w:t>Hỗ trợ bồi dưỡng kiến thức, kỹ năng cho lực lượng truyền thông chuyên trách trong lĩnh vực thông tin và truyền thông của tỉnh</w:t>
      </w:r>
      <w:r>
        <w:rPr>
          <w:color w:val="000000"/>
          <w:lang w:val="vi-VN"/>
        </w:rPr>
        <w:t>.</w:t>
      </w:r>
      <w:bookmarkEnd w:id="1"/>
    </w:p>
    <w:p w:rsidR="001B3380" w:rsidRDefault="0031515B">
      <w:pPr>
        <w:snapToGrid w:val="0"/>
        <w:spacing w:before="120"/>
        <w:ind w:firstLine="567"/>
        <w:jc w:val="both"/>
        <w:rPr>
          <w:lang w:val="vi-VN"/>
        </w:rPr>
      </w:pPr>
      <w:r>
        <w:rPr>
          <w:lang w:val="vi-VN"/>
        </w:rPr>
        <w:t>3. Ủy ban nhân dân tỉnh Ninh Thuận chịu trách nhiệm:</w:t>
      </w:r>
    </w:p>
    <w:p w:rsidR="001B3380" w:rsidRDefault="0031515B">
      <w:pPr>
        <w:snapToGrid w:val="0"/>
        <w:spacing w:before="120"/>
        <w:ind w:firstLine="567"/>
        <w:jc w:val="both"/>
        <w:rPr>
          <w:lang w:val="vi-VN"/>
        </w:rPr>
      </w:pPr>
      <w:r>
        <w:rPr>
          <w:spacing w:val="-4"/>
          <w:lang w:val="vi-VN"/>
        </w:rPr>
        <w:lastRenderedPageBreak/>
        <w:t>- Chủ trì và phối hợp chặt chẽ với Bộ Thông tin và Truyền thông trong triển khai thực hiện quản lý nhà nước trong lĩnh vực thông tin và truyền thông tại địa phương.</w:t>
      </w:r>
    </w:p>
    <w:p w:rsidR="001B3380" w:rsidRDefault="0031515B">
      <w:pPr>
        <w:snapToGrid w:val="0"/>
        <w:spacing w:before="120"/>
        <w:ind w:firstLine="567"/>
        <w:jc w:val="both"/>
        <w:rPr>
          <w:spacing w:val="-4"/>
          <w:position w:val="-4"/>
          <w:lang w:val="vi-VN"/>
        </w:rPr>
      </w:pPr>
      <w:r>
        <w:rPr>
          <w:spacing w:val="-4"/>
          <w:position w:val="-4"/>
          <w:lang w:val="vi-VN"/>
        </w:rPr>
        <w:t xml:space="preserve">- </w:t>
      </w:r>
      <w:r>
        <w:rPr>
          <w:spacing w:val="-4"/>
          <w:lang w:val="vi-VN"/>
        </w:rPr>
        <w:t>Quy hoạch và sắp xếp các đơn vị sự nghiệp công lập trong lĩnh vực công nghệ thông tin theo hướng tập trung để tăng cường nguồn lực phục vụ chuyển đổi số.</w:t>
      </w:r>
    </w:p>
    <w:p w:rsidR="001B3380" w:rsidRDefault="0031515B">
      <w:pPr>
        <w:snapToGrid w:val="0"/>
        <w:spacing w:before="120"/>
        <w:ind w:firstLine="567"/>
        <w:jc w:val="both"/>
        <w:rPr>
          <w:lang w:val="vi-VN"/>
        </w:rPr>
      </w:pPr>
      <w:r>
        <w:rPr>
          <w:lang w:val="vi-VN"/>
        </w:rPr>
        <w:t>- Bố trí biên chế chuyên trách về chuyển đổi số trong các cơ quan Nhà nước và có cơ chế</w:t>
      </w:r>
      <w:r>
        <w:t>,</w:t>
      </w:r>
      <w:r>
        <w:rPr>
          <w:lang w:val="vi-VN"/>
        </w:rPr>
        <w:t xml:space="preserve"> chính sách đãi ngộ đặc thù đối với cán bộ thực hiện nhiệm vụ về chuyển đổi số. </w:t>
      </w:r>
    </w:p>
    <w:p w:rsidR="001B3380" w:rsidRDefault="0031515B">
      <w:pPr>
        <w:snapToGrid w:val="0"/>
        <w:spacing w:before="120"/>
        <w:ind w:firstLine="567"/>
        <w:jc w:val="both"/>
        <w:rPr>
          <w:spacing w:val="-4"/>
          <w:lang w:val="vi-VN"/>
        </w:rPr>
      </w:pPr>
      <w:r>
        <w:rPr>
          <w:spacing w:val="-4"/>
          <w:lang w:val="vi-VN"/>
        </w:rPr>
        <w:t>- Bảo đảm và bố trí nguồn vốn phù hợp cho các chương trình, dự án phát triển thông tin và truyền thông, chuyển đổi số của địa phương; phối hợp, tạo điều kiện triển khai các chương trình, dự án do Bộ Thông tin và Truyền thông chủ trì tại địa phương.</w:t>
      </w:r>
    </w:p>
    <w:p w:rsidR="001B3380" w:rsidRDefault="0031515B">
      <w:pPr>
        <w:snapToGrid w:val="0"/>
        <w:spacing w:before="120"/>
        <w:ind w:firstLine="567"/>
        <w:jc w:val="both"/>
        <w:rPr>
          <w:lang w:val="vi-VN"/>
        </w:rPr>
      </w:pPr>
      <w:r>
        <w:rPr>
          <w:lang w:val="vi-VN"/>
        </w:rPr>
        <w:t xml:space="preserve">- Chỉ đạo các Sở, </w:t>
      </w:r>
      <w:r>
        <w:t xml:space="preserve">ban, </w:t>
      </w:r>
      <w:r w:rsidR="00B7309C">
        <w:rPr>
          <w:lang w:val="vi-VN"/>
        </w:rPr>
        <w:t xml:space="preserve">ngành, </w:t>
      </w:r>
      <w:r w:rsidR="00B7309C">
        <w:t>Ủy</w:t>
      </w:r>
      <w:r>
        <w:rPr>
          <w:lang w:val="vi-VN"/>
        </w:rPr>
        <w:t xml:space="preserve"> ban nhân dân </w:t>
      </w:r>
      <w:r>
        <w:t xml:space="preserve">các </w:t>
      </w:r>
      <w:r>
        <w:rPr>
          <w:lang w:val="vi-VN"/>
        </w:rPr>
        <w:t>huyện</w:t>
      </w:r>
      <w:r>
        <w:t>, thành phố</w:t>
      </w:r>
      <w:r>
        <w:rPr>
          <w:lang w:val="vi-VN"/>
        </w:rPr>
        <w:t xml:space="preserve"> tạo điều kiện cho việc phát triển hạ tầng </w:t>
      </w:r>
      <w:r>
        <w:t xml:space="preserve">bưu chính, </w:t>
      </w:r>
      <w:r>
        <w:rPr>
          <w:lang w:val="vi-VN"/>
        </w:rPr>
        <w:t>viễn thông</w:t>
      </w:r>
      <w:r>
        <w:t xml:space="preserve"> trên địa bàn tỉnh, chủ động trong việc bảo đảm an toàn thông tin mạng</w:t>
      </w:r>
      <w:r>
        <w:rPr>
          <w:lang w:val="vi-VN"/>
        </w:rPr>
        <w:t>.</w:t>
      </w:r>
    </w:p>
    <w:p w:rsidR="001B3380" w:rsidRDefault="0031515B">
      <w:pPr>
        <w:snapToGrid w:val="0"/>
        <w:spacing w:before="120"/>
        <w:ind w:firstLine="567"/>
        <w:jc w:val="both"/>
        <w:rPr>
          <w:lang w:val="vi-VN"/>
        </w:rPr>
      </w:pPr>
      <w:r>
        <w:rPr>
          <w:lang w:val="vi-VN"/>
        </w:rPr>
        <w:t>- Chủ động kiến nghị, góp ý với Bộ Thông tin và Truyền thông các vấn đề còn tồn tại và đề xuất biện pháp xử lý trong quá trình thực thi quản lý nhà nước về thông tin và truyền thông tại địa phương.</w:t>
      </w:r>
    </w:p>
    <w:p w:rsidR="001B3380" w:rsidRPr="0087474F" w:rsidRDefault="0031515B">
      <w:pPr>
        <w:snapToGrid w:val="0"/>
        <w:spacing w:before="120" w:line="360" w:lineRule="exact"/>
        <w:ind w:firstLine="567"/>
        <w:jc w:val="both"/>
        <w:rPr>
          <w:b/>
          <w:lang w:val="vi-VN"/>
        </w:rPr>
      </w:pPr>
      <w:r w:rsidRPr="0087474F">
        <w:rPr>
          <w:b/>
          <w:lang w:val="vi-VN"/>
        </w:rPr>
        <w:t>III. NỘI DUNG PHỐI HỢP</w:t>
      </w:r>
    </w:p>
    <w:p w:rsidR="001B3380" w:rsidRPr="0087474F" w:rsidRDefault="0031515B">
      <w:pPr>
        <w:spacing w:after="120"/>
        <w:ind w:firstLine="567"/>
        <w:jc w:val="both"/>
        <w:rPr>
          <w:b/>
        </w:rPr>
      </w:pPr>
      <w:r w:rsidRPr="0087474F">
        <w:rPr>
          <w:b/>
        </w:rPr>
        <w:t xml:space="preserve">1. Phát triển nguồn nhân lực chuyển đổi số </w:t>
      </w:r>
    </w:p>
    <w:p w:rsidR="001B3380" w:rsidRPr="0087474F" w:rsidRDefault="0031515B">
      <w:pPr>
        <w:spacing w:after="120"/>
        <w:ind w:firstLine="567"/>
        <w:jc w:val="both"/>
        <w:rPr>
          <w:lang w:val="vi-VN"/>
        </w:rPr>
      </w:pPr>
      <w:r w:rsidRPr="0087474F">
        <w:t>Quan tâm, hỗ trợ tỉnh tỏ chức hội nghị, hội thảo, các lớp nâng cao nhận thức, đào tạo, bồi dưỡng kỹ năng lãnh đạo, quản lý về chuyển đổi số cho cán bộ lãnh đạo các cấp; đào tạo kỹ năng chuyển đổi số, kỹ năng số cho cán bộ, công chức, viên chức và người lao động trong các cơ quan nhà nước; đào tạo, bồi dưỡng chuyên sâu về chuyển đổi số, kỹ năng số cho đội ngũ cán bộ chuyên trách công nghệ thông tin để trở thành các chuyên gia nòng cốt tham mưu cho cấp ủy, chính quyền các cấp về chuyển đổi số.</w:t>
      </w:r>
    </w:p>
    <w:p w:rsidR="001B3380" w:rsidRPr="0087474F" w:rsidRDefault="0031515B">
      <w:pPr>
        <w:spacing w:after="120"/>
        <w:ind w:firstLine="567"/>
        <w:jc w:val="both"/>
        <w:rPr>
          <w:b/>
        </w:rPr>
      </w:pPr>
      <w:r w:rsidRPr="0087474F">
        <w:rPr>
          <w:b/>
        </w:rPr>
        <w:t xml:space="preserve">2. Phát triển hạ tầng số phục vụ chuyển đổi số </w:t>
      </w:r>
    </w:p>
    <w:p w:rsidR="0087474F" w:rsidRPr="0087474F" w:rsidRDefault="0031515B">
      <w:pPr>
        <w:spacing w:after="120"/>
        <w:ind w:firstLine="567"/>
        <w:jc w:val="both"/>
      </w:pPr>
      <w:r w:rsidRPr="0087474F">
        <w:t xml:space="preserve">a) Hỗ trợ tỉnh Ninh Thuận </w:t>
      </w:r>
      <w:r w:rsidR="0087474F" w:rsidRPr="0087474F">
        <w:t>hoàn chỉnh</w:t>
      </w:r>
      <w:r w:rsidRPr="0087474F">
        <w:t xml:space="preserve"> hạ tầng </w:t>
      </w:r>
      <w:r w:rsidR="0087474F" w:rsidRPr="0087474F">
        <w:t xml:space="preserve">dùng chung, </w:t>
      </w:r>
      <w:r w:rsidR="0087474F" w:rsidRPr="0087474F">
        <w:rPr>
          <w:lang w:val="nb-NO"/>
        </w:rPr>
        <w:t xml:space="preserve">hệ thống đảm bảo an toàn, </w:t>
      </w:r>
      <w:proofErr w:type="gramStart"/>
      <w:r w:rsidR="0087474F" w:rsidRPr="0087474F">
        <w:rPr>
          <w:lang w:val="nb-NO"/>
        </w:rPr>
        <w:t>an</w:t>
      </w:r>
      <w:proofErr w:type="gramEnd"/>
      <w:r w:rsidR="0087474F" w:rsidRPr="0087474F">
        <w:rPr>
          <w:lang w:val="nb-NO"/>
        </w:rPr>
        <w:t xml:space="preserve"> ninh thông tin; đảm bảo hạ tầng nền tảng phát triển dịch vụ đô thị thông minh và nền tảng IoT.</w:t>
      </w:r>
    </w:p>
    <w:p w:rsidR="001B3380" w:rsidRPr="0087474F" w:rsidRDefault="0031515B">
      <w:pPr>
        <w:spacing w:after="120"/>
        <w:ind w:firstLine="567"/>
        <w:jc w:val="both"/>
        <w:rPr>
          <w:lang w:val="vi-VN"/>
        </w:rPr>
      </w:pPr>
      <w:r w:rsidRPr="0087474F">
        <w:t>b) Hỗ trợ tỉnh Ninh Thuận triển khai phủ sóng mạng thế hệ mới (5G) trên toàn tỉnh (ưu tiên triển khai tại các khu, cụm công nghiệp, khu vực đông dân cư, trung tâm các huyện, thành phố, khu du lịch, bệnh viện, trường học) để phục vụ phát triển xã hội số và dịch vụ đô thị thông minh; phổ cập dịch vụ mạng di động 4G/5G và điện thoại di động thông minh; Hạ tầng mạng băng rộng cáp quang phủ trên 90% hộ gia đình, 100% địa bàn thôn có dân cư.</w:t>
      </w:r>
    </w:p>
    <w:p w:rsidR="001B3380" w:rsidRPr="0087474F" w:rsidRDefault="0031515B">
      <w:pPr>
        <w:spacing w:after="120"/>
        <w:ind w:firstLine="567"/>
        <w:jc w:val="both"/>
        <w:rPr>
          <w:lang w:val="vi-VN"/>
        </w:rPr>
      </w:pPr>
      <w:r w:rsidRPr="0087474F">
        <w:t>c)</w:t>
      </w:r>
      <w:r w:rsidRPr="0087474F">
        <w:rPr>
          <w:lang w:val="vi-VN"/>
        </w:rPr>
        <w:t xml:space="preserve"> </w:t>
      </w:r>
      <w:r w:rsidRPr="0087474F">
        <w:t>Hỗ trợ tư vấn để phát triển công nghiệp công nghệ số, doanh nghiệp công nghệ số và tổ chức các hoạt động xúc tiến đầu tư trong lĩnh vực công nghiệp công nghệ số tại địa phương</w:t>
      </w:r>
      <w:r w:rsidRPr="0087474F">
        <w:rPr>
          <w:lang w:val="vi-VN"/>
        </w:rPr>
        <w:t>.</w:t>
      </w:r>
    </w:p>
    <w:p w:rsidR="0087474F" w:rsidRPr="0087474F" w:rsidRDefault="0087474F">
      <w:pPr>
        <w:spacing w:after="120"/>
        <w:ind w:firstLine="567"/>
        <w:jc w:val="both"/>
        <w:rPr>
          <w:lang w:val="vi-VN"/>
        </w:rPr>
      </w:pPr>
      <w:r w:rsidRPr="0087474F">
        <w:rPr>
          <w:lang w:val="nb-NO"/>
        </w:rPr>
        <w:lastRenderedPageBreak/>
        <w:t>d) Hỗ trợ đầu tư, nâng cấp hạ tầng công nghệ thông tin trong các cơ quan nhà nước thực hiện các ứng dụng công nghệ thông tin, dịch vụ dùng chung của tỉnh, đưa vào sử dụng nền tảng LGSP và kết nối với hệ thống NGSP quốc gia; tích hợp các hệ thống thông tin của tỉnh và cơ quan Trung ương.</w:t>
      </w:r>
    </w:p>
    <w:p w:rsidR="001B3380" w:rsidRPr="0087474F" w:rsidRDefault="0087474F">
      <w:pPr>
        <w:spacing w:after="120"/>
        <w:ind w:firstLine="567"/>
        <w:jc w:val="both"/>
        <w:rPr>
          <w:lang w:val="vi-VN"/>
        </w:rPr>
      </w:pPr>
      <w:r w:rsidRPr="0087474F">
        <w:t>e</w:t>
      </w:r>
      <w:r w:rsidR="0031515B" w:rsidRPr="0087474F">
        <w:t>) Hỗ trợ tỉnh Ninh Thuận kêu gọi, thu hút các doanh nghiệp đầu tư trung tâm dữ liệu vào tỉnh Ninh Thuận theo quy hoạch cho phát triển năng lượng điện vì nguồn lực lợi thế năng lượng tái tạo của tỉnh.</w:t>
      </w:r>
    </w:p>
    <w:p w:rsidR="001B3380" w:rsidRPr="0087474F" w:rsidRDefault="0087474F">
      <w:pPr>
        <w:spacing w:after="120"/>
        <w:ind w:firstLine="567"/>
        <w:jc w:val="both"/>
        <w:rPr>
          <w:lang w:val="vi-VN"/>
        </w:rPr>
      </w:pPr>
      <w:r w:rsidRPr="0087474F">
        <w:rPr>
          <w:lang w:val="vi-VN"/>
        </w:rPr>
        <w:t>h</w:t>
      </w:r>
      <w:r w:rsidR="0031515B" w:rsidRPr="0087474F">
        <w:rPr>
          <w:lang w:val="vi-VN"/>
        </w:rPr>
        <w:t xml:space="preserve">) </w:t>
      </w:r>
      <w:r w:rsidR="0031515B" w:rsidRPr="0087474F">
        <w:rPr>
          <w:spacing w:val="-2"/>
        </w:rPr>
        <w:t>Phối hợp tuyên truyền, quảng bá cài đặt, sử dụng ứng dụng đo tốc độ truy cập Internet Việt Nam (i-Speed) để hỗ trợ công tác quản lý, phát triển hạ tầng số địa phương</w:t>
      </w:r>
      <w:r w:rsidR="0031515B" w:rsidRPr="0087474F">
        <w:rPr>
          <w:spacing w:val="-2"/>
          <w:lang w:val="vi-VN"/>
        </w:rPr>
        <w:t>.</w:t>
      </w:r>
    </w:p>
    <w:p w:rsidR="001B3380" w:rsidRPr="007F1767" w:rsidRDefault="0031515B">
      <w:pPr>
        <w:spacing w:after="120"/>
        <w:ind w:firstLine="567"/>
        <w:jc w:val="both"/>
        <w:rPr>
          <w:b/>
        </w:rPr>
      </w:pPr>
      <w:r w:rsidRPr="007F1767">
        <w:rPr>
          <w:b/>
        </w:rPr>
        <w:t xml:space="preserve">3. Phát triển dữ liệu số </w:t>
      </w:r>
    </w:p>
    <w:p w:rsidR="001B3380" w:rsidRPr="007F1767" w:rsidRDefault="0031515B">
      <w:pPr>
        <w:spacing w:after="120"/>
        <w:ind w:firstLine="567"/>
        <w:jc w:val="both"/>
        <w:rPr>
          <w:lang w:val="vi-VN"/>
        </w:rPr>
      </w:pPr>
      <w:r w:rsidRPr="007F1767">
        <w:t xml:space="preserve">a) Hỗ trợ tỉnh thực hiện kết nối và chia sẻ dữ liệu giữa tỉnh Ninh Thuận với các Bộ, ngành trung ương đặc biệt là khai thác, chia sẻ dữ liệu hiệu quả với các cơ sở dữ liệu quốc gia thông qua việc kết nối giữa Nền tảng tích hợp, chia sẻ dữ liệu của tỉnh và Nền tảng tích hợp, chia sẻ dữ liệu quốc gia. </w:t>
      </w:r>
    </w:p>
    <w:p w:rsidR="001B3380" w:rsidRPr="007F1767" w:rsidRDefault="0031515B">
      <w:pPr>
        <w:spacing w:after="120"/>
        <w:ind w:firstLine="567"/>
        <w:jc w:val="both"/>
        <w:rPr>
          <w:lang w:val="vi-VN"/>
        </w:rPr>
      </w:pPr>
      <w:r w:rsidRPr="007F1767">
        <w:t xml:space="preserve">b) Hỗ trợ hệ thống thông tin nguồn, kết nối, chia sẽ dữ liệu </w:t>
      </w:r>
      <w:r w:rsidR="0087474F" w:rsidRPr="007F1767">
        <w:t>từ các phần mềm, CSDL của tỉnh đến các bộ, ngành trung ương</w:t>
      </w:r>
      <w:r w:rsidRPr="007F1767">
        <w:t>.</w:t>
      </w:r>
    </w:p>
    <w:p w:rsidR="001B3380" w:rsidRPr="007F1767" w:rsidRDefault="0031515B">
      <w:pPr>
        <w:spacing w:after="120"/>
        <w:ind w:firstLine="567"/>
        <w:jc w:val="both"/>
        <w:rPr>
          <w:b/>
        </w:rPr>
      </w:pPr>
      <w:r w:rsidRPr="007F1767">
        <w:rPr>
          <w:b/>
        </w:rPr>
        <w:t xml:space="preserve">4. Phát triển nền tảng số </w:t>
      </w:r>
    </w:p>
    <w:p w:rsidR="001B3380" w:rsidRPr="007F1767" w:rsidRDefault="0031515B">
      <w:pPr>
        <w:spacing w:after="120"/>
        <w:ind w:firstLine="567"/>
        <w:jc w:val="both"/>
        <w:rPr>
          <w:b/>
          <w:lang w:val="vi-VN"/>
        </w:rPr>
      </w:pPr>
      <w:r w:rsidRPr="007F1767">
        <w:t>Quan tâm, hỗ trợ tỉnh triển khai nền tảng phân tích, xử lý dữ liệu tổng hợp tập trung; nền tảng khảo sát, thu thập ý kiến người dân</w:t>
      </w:r>
      <w:r w:rsidRPr="007F1767">
        <w:rPr>
          <w:lang w:val="vi-VN"/>
        </w:rPr>
        <w:t>.</w:t>
      </w:r>
    </w:p>
    <w:p w:rsidR="001B3380" w:rsidRPr="007F1767" w:rsidRDefault="0031515B">
      <w:pPr>
        <w:spacing w:after="120"/>
        <w:ind w:firstLine="567"/>
        <w:jc w:val="both"/>
        <w:rPr>
          <w:b/>
          <w:lang w:val="vi-VN"/>
        </w:rPr>
      </w:pPr>
      <w:r w:rsidRPr="007F1767">
        <w:rPr>
          <w:b/>
        </w:rPr>
        <w:t xml:space="preserve">5. </w:t>
      </w:r>
      <w:proofErr w:type="gramStart"/>
      <w:r w:rsidRPr="007F1767">
        <w:rPr>
          <w:b/>
          <w:lang w:val="vi-VN"/>
        </w:rPr>
        <w:t>A</w:t>
      </w:r>
      <w:r w:rsidRPr="007F1767">
        <w:rPr>
          <w:b/>
        </w:rPr>
        <w:t>n</w:t>
      </w:r>
      <w:proofErr w:type="gramEnd"/>
      <w:r w:rsidRPr="007F1767">
        <w:rPr>
          <w:b/>
        </w:rPr>
        <w:t xml:space="preserve"> ninh thông tin mạng</w:t>
      </w:r>
      <w:r w:rsidRPr="007F1767">
        <w:rPr>
          <w:b/>
          <w:lang w:val="vi-VN"/>
        </w:rPr>
        <w:t xml:space="preserve"> </w:t>
      </w:r>
    </w:p>
    <w:p w:rsidR="001B3380" w:rsidRPr="007F1767" w:rsidRDefault="0031515B">
      <w:pPr>
        <w:spacing w:after="120"/>
        <w:ind w:firstLine="567"/>
        <w:jc w:val="both"/>
      </w:pPr>
      <w:r w:rsidRPr="007F1767">
        <w:t xml:space="preserve">a) Hỗ trợ kết nối, chia sẻ thông tin về mã độc với Trung tâm Giám sát an toàn không gian mạng quốc gia theo Văn bản số 2290/BTTTT-CATTT ngày 17/7/2018 của Bộ Thông tin và Truyền thông; kết nối chia sẻ dữ liệu các hệ thống thông tin của cơ quan nhà nước được giám sát trực tiếp với Trung tâm Giám sát an toàn không gian mạng quốc gia. </w:t>
      </w:r>
    </w:p>
    <w:p w:rsidR="001B3380" w:rsidRPr="007F1767" w:rsidRDefault="0031515B">
      <w:pPr>
        <w:spacing w:after="120"/>
        <w:ind w:firstLine="567"/>
        <w:jc w:val="both"/>
        <w:rPr>
          <w:lang w:val="vi-VN"/>
        </w:rPr>
      </w:pPr>
      <w:r w:rsidRPr="007F1767">
        <w:t>b) Hỗ trợ tư vấn công tác bảo đảm an toàn thông tin của tỉnh đáp ứng yêu cầu chuyển đổi số</w:t>
      </w:r>
      <w:r w:rsidRPr="007F1767">
        <w:rPr>
          <w:lang w:val="vi-VN"/>
        </w:rPr>
        <w:t>.</w:t>
      </w:r>
    </w:p>
    <w:p w:rsidR="001B3380" w:rsidRPr="007F1767" w:rsidRDefault="0031515B">
      <w:pPr>
        <w:spacing w:after="120"/>
        <w:ind w:firstLine="567"/>
        <w:jc w:val="both"/>
      </w:pPr>
      <w:r w:rsidRPr="007F1767">
        <w:t>c) Tổ chức thực hiện các chiến dịch làm sạch mã độc trên máy chủ, máy tính, thiết bị đầu cuối trên địa bàn tỉnh. Tổ chức diễn tập phòng, chống, xử lý tấn công mạng và các hoạt động theo dõi, cảnh báo, xử lý sự cố, nguy cơ về an toàn thông tin mạng.</w:t>
      </w:r>
    </w:p>
    <w:p w:rsidR="001B3380" w:rsidRPr="007F1767" w:rsidRDefault="0031515B">
      <w:pPr>
        <w:spacing w:after="120"/>
        <w:ind w:firstLine="567"/>
        <w:jc w:val="both"/>
        <w:rPr>
          <w:b/>
        </w:rPr>
      </w:pPr>
      <w:r w:rsidRPr="007F1767">
        <w:rPr>
          <w:b/>
        </w:rPr>
        <w:t>6. Phát triển chính quyền số</w:t>
      </w:r>
    </w:p>
    <w:p w:rsidR="001B3380" w:rsidRPr="007F1767" w:rsidRDefault="0031515B">
      <w:pPr>
        <w:spacing w:after="120"/>
        <w:ind w:firstLine="567"/>
        <w:jc w:val="both"/>
        <w:rPr>
          <w:lang w:val="vi-VN"/>
        </w:rPr>
      </w:pPr>
      <w:r w:rsidRPr="007F1767">
        <w:rPr>
          <w:lang w:val="vi-VN"/>
        </w:rPr>
        <w:t xml:space="preserve">a) </w:t>
      </w:r>
      <w:r w:rsidRPr="007F1767">
        <w:t xml:space="preserve"> Hỗ trợ phát triển đô thị thông minh tỉnh Ninh Thuận:</w:t>
      </w:r>
      <w:r w:rsidRPr="007F1767">
        <w:rPr>
          <w:lang w:val="vi-VN"/>
        </w:rPr>
        <w:t xml:space="preserve"> X</w:t>
      </w:r>
      <w:r w:rsidRPr="007F1767">
        <w:t xml:space="preserve">ây dựng Kiến trúc ICT phát triển đô thị thông minh tỉnh Ninh Thuận; triển khai nền tảng trung tâm giám sát, điều hành đô thị thông minh tỉnh Ninh Thuận và Thành phố Phan Rang - Tháp chàm; </w:t>
      </w:r>
      <w:r w:rsidRPr="007F1767">
        <w:rPr>
          <w:lang w:val="vi-VN"/>
        </w:rPr>
        <w:t>đ</w:t>
      </w:r>
      <w:r w:rsidRPr="007F1767">
        <w:t>o lường chỉ số KPI phát triển Đô thị thông minh.</w:t>
      </w:r>
    </w:p>
    <w:p w:rsidR="001B3380" w:rsidRPr="007F1767" w:rsidRDefault="0031515B">
      <w:pPr>
        <w:spacing w:after="120"/>
        <w:ind w:firstLine="567"/>
        <w:jc w:val="both"/>
        <w:rPr>
          <w:lang w:val="vi-VN"/>
        </w:rPr>
      </w:pPr>
      <w:r w:rsidRPr="007F1767">
        <w:rPr>
          <w:lang w:val="vi-VN"/>
        </w:rPr>
        <w:t xml:space="preserve">b) </w:t>
      </w:r>
      <w:r w:rsidRPr="007F1767">
        <w:t xml:space="preserve"> Hỗ trợ tỉnh Ninh Thuận trong việc xây dựng </w:t>
      </w:r>
      <w:r w:rsidRPr="007F1767">
        <w:rPr>
          <w:shd w:val="clear" w:color="auto" w:fill="FFFFFF"/>
        </w:rPr>
        <w:t>Nền tảng quản trị tổng thể cấp bộ, tỉnh</w:t>
      </w:r>
      <w:r w:rsidRPr="007F1767">
        <w:rPr>
          <w:shd w:val="clear" w:color="auto" w:fill="FFFFFF"/>
          <w:lang w:val="vi-VN"/>
        </w:rPr>
        <w:t>.</w:t>
      </w:r>
    </w:p>
    <w:p w:rsidR="001B3380" w:rsidRPr="007F1767" w:rsidRDefault="0031515B">
      <w:pPr>
        <w:spacing w:after="120"/>
        <w:ind w:firstLine="567"/>
        <w:jc w:val="both"/>
        <w:rPr>
          <w:b/>
        </w:rPr>
      </w:pPr>
      <w:r w:rsidRPr="007F1767">
        <w:rPr>
          <w:b/>
        </w:rPr>
        <w:lastRenderedPageBreak/>
        <w:t>7. Phát triển kinh tế số, xã hội số</w:t>
      </w:r>
    </w:p>
    <w:p w:rsidR="001B3380" w:rsidRPr="007F1767" w:rsidRDefault="0031515B">
      <w:pPr>
        <w:spacing w:after="120"/>
        <w:ind w:firstLine="567"/>
        <w:jc w:val="both"/>
        <w:rPr>
          <w:lang w:val="vi-VN"/>
        </w:rPr>
      </w:pPr>
      <w:r w:rsidRPr="007F1767">
        <w:t>a) Hỗ trợ phát triển doanh nghiệp số, công dân số, phát triển mạng bưu chính theo hướng logistics để phát triển thị trường thương mại điện tử, xây dựng phương án triển khai phát triển ứng dụng phần mềm quản lý hạ tầng viễn thông phục vụ mô hình thành phố thông minh tỉnh Ninh Thuận.</w:t>
      </w:r>
    </w:p>
    <w:p w:rsidR="001B3380" w:rsidRPr="007F1767" w:rsidRDefault="0031515B">
      <w:pPr>
        <w:spacing w:after="120"/>
        <w:ind w:firstLine="567"/>
        <w:jc w:val="both"/>
        <w:rPr>
          <w:lang w:val="vi-VN"/>
        </w:rPr>
      </w:pPr>
      <w:r w:rsidRPr="007F1767">
        <w:rPr>
          <w:lang w:val="vi-VN"/>
        </w:rPr>
        <w:t xml:space="preserve">b) </w:t>
      </w:r>
      <w:r w:rsidRPr="007F1767">
        <w:rPr>
          <w:spacing w:val="-2"/>
        </w:rPr>
        <w:t>Phối hợp tuyên truyền, ưu tiên sử dụng tên miền quốc gia Việt Nam ".vn" trong các hoạt động như d</w:t>
      </w:r>
      <w:r w:rsidRPr="007F1767">
        <w:rPr>
          <w:shd w:val="clear" w:color="auto" w:fill="FFFFFF"/>
          <w:lang w:val="vi-VN"/>
        </w:rPr>
        <w:t>ịch vụ trực tuyến của các cơ quan nhà nước, báo điện tử, </w:t>
      </w:r>
      <w:r w:rsidRPr="007F1767">
        <w:rPr>
          <w:shd w:val="clear" w:color="auto" w:fill="FFFFFF"/>
        </w:rPr>
        <w:t>tr</w:t>
      </w:r>
      <w:r w:rsidRPr="007F1767">
        <w:rPr>
          <w:shd w:val="clear" w:color="auto" w:fill="FFFFFF"/>
          <w:lang w:val="vi-VN"/>
        </w:rPr>
        <w:t>ang thông tin điện tử tổng hợp, giáo dục, y tế, thương mại điện tử</w:t>
      </w:r>
      <w:r w:rsidRPr="007F1767">
        <w:rPr>
          <w:spacing w:val="-2"/>
        </w:rPr>
        <w:t xml:space="preserve"> tại địa phương, khai thác giá trị tài nguyên tên miền quốc gia “.vn” trong các hoạt động kinh tế số, xã hội số tại địa phương</w:t>
      </w:r>
      <w:r w:rsidRPr="007F1767">
        <w:rPr>
          <w:spacing w:val="-2"/>
          <w:lang w:val="vi-VN"/>
        </w:rPr>
        <w:t>.</w:t>
      </w:r>
    </w:p>
    <w:p w:rsidR="001B3380" w:rsidRPr="007F1767" w:rsidRDefault="0031515B">
      <w:pPr>
        <w:spacing w:after="120"/>
        <w:ind w:firstLine="567"/>
        <w:jc w:val="both"/>
        <w:rPr>
          <w:lang w:val="vi-VN"/>
        </w:rPr>
      </w:pPr>
      <w:r w:rsidRPr="007F1767">
        <w:rPr>
          <w:lang w:val="vi-VN"/>
        </w:rPr>
        <w:t xml:space="preserve">c) </w:t>
      </w:r>
      <w:r w:rsidRPr="007F1767">
        <w:rPr>
          <w:spacing w:val="-2"/>
        </w:rPr>
        <w:t>Phối hợp tuyên truyền chính sách ưu đãi về phí lệ phí (không thu phí, lệ phí) trong hai năm khi đăng ký tên miền “.id.vn” đối với công dân Việt Nam có độ tuổi từ đủ 18 đến 23 và tên miền “.biz.vn” đối với doanh nghiệp mới thành lập trong vòng một năm kể từ thời điểm đăng ký tên miền, hộ kinh doanh có giấy chứng nhận đăng ký thành lập theo Thông tư số 20/2023/TT-BTC ngày 13/4/2023 của Bộ Tài chính (thay thế Thông tư số 208/2016/TT-BTC) nhằm: hỗ trợ giới trẻ trải nghiệm và nâng cao kỹ năng số, tìm kiếm cơ hội việc làm, kết nối cộng đồng thông qua việc tự mình xây dựng thương hiệu cá nhân trên Internet với website cá nhân; hỗ trợ các doanh nghiệp đặc biệt là các doanh nghiệp vừa và nhỏ, hộ kinh doanh có nhu cầu hiện diện online, xây dựng, phát triển thương hiệu, kinh doanh trực tuyến với các dịch vụ số.</w:t>
      </w:r>
    </w:p>
    <w:p w:rsidR="001B3380" w:rsidRPr="007F1767" w:rsidRDefault="0031515B">
      <w:pPr>
        <w:spacing w:after="120"/>
        <w:ind w:firstLine="567"/>
        <w:jc w:val="both"/>
        <w:rPr>
          <w:b/>
        </w:rPr>
      </w:pPr>
      <w:r w:rsidRPr="007F1767">
        <w:rPr>
          <w:b/>
        </w:rPr>
        <w:t xml:space="preserve">8. Hỗ trợ thúc đẩy triển khai Đề án 06 </w:t>
      </w:r>
    </w:p>
    <w:p w:rsidR="001B3380" w:rsidRPr="007F1767" w:rsidRDefault="0031515B">
      <w:pPr>
        <w:spacing w:after="120"/>
        <w:ind w:firstLine="567"/>
        <w:jc w:val="both"/>
      </w:pPr>
      <w:r w:rsidRPr="007F1767">
        <w:t xml:space="preserve">Hỗ trợ, hướng dẫn tỉnh về giải pháp đầu tư, nâng cấp hạ tầng công nghệ thông tin thiết yếu cần thiết để triển khai Đề án 06 được đồng bộ, hiệu quả theo </w:t>
      </w:r>
      <w:r w:rsidRPr="007F1767">
        <w:rPr>
          <w:lang w:val="vi-VN"/>
        </w:rPr>
        <w:t>V</w:t>
      </w:r>
      <w:r w:rsidRPr="007F1767">
        <w:t>ăn bản</w:t>
      </w:r>
      <w:r w:rsidRPr="007F1767">
        <w:rPr>
          <w:lang w:val="vi-VN"/>
        </w:rPr>
        <w:t xml:space="preserve"> </w:t>
      </w:r>
      <w:r w:rsidRPr="007F1767">
        <w:t>số 1552/BTTTT-THH ngày 26/4/2022 của Bộ Thông tin và Truyền thông.</w:t>
      </w:r>
    </w:p>
    <w:p w:rsidR="001B3380" w:rsidRPr="00A3123E" w:rsidRDefault="0031515B">
      <w:pPr>
        <w:widowControl w:val="0"/>
        <w:snapToGrid w:val="0"/>
        <w:spacing w:before="120"/>
        <w:ind w:firstLine="567"/>
        <w:jc w:val="both"/>
        <w:rPr>
          <w:b/>
        </w:rPr>
      </w:pPr>
      <w:r>
        <w:rPr>
          <w:b/>
          <w:lang w:val="vi-VN"/>
        </w:rPr>
        <w:t>IV. NỘI DUNG TRỌNG TÂM PHỐI HỢP TRIỂN KHAI NĂM 202</w:t>
      </w:r>
      <w:r w:rsidR="00A3123E">
        <w:rPr>
          <w:b/>
        </w:rPr>
        <w:t>4</w:t>
      </w:r>
    </w:p>
    <w:p w:rsidR="001B3380" w:rsidRDefault="0031515B">
      <w:pPr>
        <w:spacing w:before="120"/>
        <w:ind w:firstLine="567"/>
        <w:jc w:val="both"/>
        <w:rPr>
          <w:lang w:val="nl-NL"/>
        </w:rPr>
      </w:pPr>
      <w:r>
        <w:rPr>
          <w:b/>
        </w:rPr>
        <w:t xml:space="preserve">1. </w:t>
      </w:r>
      <w:r>
        <w:rPr>
          <w:b/>
          <w:lang w:val="nl-NL"/>
        </w:rPr>
        <w:t>Đẩy mạnh hiệu quả sử dụng Dịch vụ công trực tuyến</w:t>
      </w:r>
      <w:r>
        <w:rPr>
          <w:lang w:val="nl-NL"/>
        </w:rPr>
        <w:t xml:space="preserve">: </w:t>
      </w:r>
      <w:r w:rsidRPr="00064CC6">
        <w:rPr>
          <w:color w:val="C00000"/>
          <w:lang w:val="nl-NL"/>
        </w:rPr>
        <w:t>B</w:t>
      </w:r>
      <w:r w:rsidRPr="00064CC6">
        <w:rPr>
          <w:rFonts w:ascii="TimesNewRomanPSMT" w:hAnsi="TimesNewRomanPSMT"/>
          <w:color w:val="C00000"/>
        </w:rPr>
        <w:t xml:space="preserve">ảo đảm tối thiểu 80% thủ tục hành chính được cung cấp dưới dạng dịch vụ công trực tuyến, tối thiểu 80% </w:t>
      </w:r>
      <w:r>
        <w:rPr>
          <w:rFonts w:ascii="TimesNewRomanPSMT" w:hAnsi="TimesNewRomanPSMT"/>
          <w:color w:val="0C0C0C"/>
        </w:rPr>
        <w:t xml:space="preserve">dịch vụ công trực tuyến được cung cấp dưới dạng dịch vụ công trực tuyến toàn trình </w:t>
      </w:r>
      <w:r>
        <w:rPr>
          <w:lang w:val="nl-NL"/>
        </w:rPr>
        <w:t>trong năm 202</w:t>
      </w:r>
      <w:r w:rsidR="0063258F">
        <w:rPr>
          <w:lang w:val="nl-NL"/>
        </w:rPr>
        <w:t>4</w:t>
      </w:r>
      <w:r>
        <w:rPr>
          <w:lang w:val="nl-NL"/>
        </w:rPr>
        <w:t>.</w:t>
      </w:r>
    </w:p>
    <w:p w:rsidR="001B3380" w:rsidRDefault="0031515B">
      <w:pPr>
        <w:widowControl w:val="0"/>
        <w:snapToGrid w:val="0"/>
        <w:spacing w:before="120"/>
        <w:ind w:firstLine="567"/>
        <w:jc w:val="both"/>
        <w:rPr>
          <w:lang w:val="vi-VN"/>
        </w:rPr>
      </w:pPr>
      <w:r>
        <w:rPr>
          <w:lang w:val="vi-VN"/>
        </w:rPr>
        <w:t xml:space="preserve">Đơn vị phối hợp: Cục Chuyển đổi số quốc gia </w:t>
      </w:r>
      <w:r>
        <w:t>-</w:t>
      </w:r>
      <w:r>
        <w:rPr>
          <w:lang w:val="vi-VN"/>
        </w:rPr>
        <w:t xml:space="preserve"> Bộ Thông tin và Truyền thông</w:t>
      </w:r>
      <w:r>
        <w:t>.</w:t>
      </w:r>
      <w:r>
        <w:rPr>
          <w:lang w:val="vi-VN"/>
        </w:rPr>
        <w:t xml:space="preserve"> </w:t>
      </w:r>
    </w:p>
    <w:p w:rsidR="001B3380" w:rsidRDefault="0031515B">
      <w:pPr>
        <w:widowControl w:val="0"/>
        <w:snapToGrid w:val="0"/>
        <w:spacing w:before="120"/>
        <w:ind w:firstLine="567"/>
        <w:jc w:val="both"/>
        <w:rPr>
          <w:color w:val="000000"/>
          <w:lang w:val="vi-VN"/>
        </w:rPr>
      </w:pPr>
      <w:r>
        <w:rPr>
          <w:b/>
        </w:rPr>
        <w:t>2. T</w:t>
      </w:r>
      <w:r>
        <w:rPr>
          <w:b/>
          <w:color w:val="000000"/>
        </w:rPr>
        <w:t>húc đẩy phát triển trợ lý ảo cho công chức, viên chức và xây dựng nền tảng mô hình ngôn ngữ lớn tiếng Việt</w:t>
      </w:r>
      <w:r>
        <w:rPr>
          <w:lang w:val="vi-VN"/>
        </w:rPr>
        <w:t>: H</w:t>
      </w:r>
      <w:r>
        <w:rPr>
          <w:color w:val="000000"/>
        </w:rPr>
        <w:t>ỗ trợ chuyển giao cho tỉnh Ninh Thuận về nội dung này</w:t>
      </w:r>
      <w:r>
        <w:rPr>
          <w:color w:val="000000"/>
          <w:lang w:val="vi-VN"/>
        </w:rPr>
        <w:t xml:space="preserve"> trong năm 202</w:t>
      </w:r>
      <w:r w:rsidR="00064CC6">
        <w:rPr>
          <w:color w:val="000000"/>
        </w:rPr>
        <w:t>4</w:t>
      </w:r>
      <w:r>
        <w:rPr>
          <w:color w:val="000000"/>
          <w:lang w:val="vi-VN"/>
        </w:rPr>
        <w:t>.</w:t>
      </w:r>
    </w:p>
    <w:p w:rsidR="001B3380" w:rsidRDefault="0031515B">
      <w:pPr>
        <w:widowControl w:val="0"/>
        <w:snapToGrid w:val="0"/>
        <w:spacing w:before="120"/>
        <w:ind w:firstLine="567"/>
        <w:jc w:val="both"/>
      </w:pPr>
      <w:r>
        <w:rPr>
          <w:lang w:val="vi-VN"/>
        </w:rPr>
        <w:t>Đơn vị phối hợp: Cục Chuyển đổi số quốc gia phối hợp Cục An toàn thông tin và Trung tâm Thông tin - Bộ Thông tin và Truyền thông.</w:t>
      </w:r>
    </w:p>
    <w:p w:rsidR="001B3380" w:rsidRDefault="0031515B">
      <w:pPr>
        <w:widowControl w:val="0"/>
        <w:snapToGrid w:val="0"/>
        <w:spacing w:before="120"/>
        <w:ind w:firstLine="567"/>
        <w:jc w:val="both"/>
      </w:pPr>
      <w:r>
        <w:rPr>
          <w:b/>
        </w:rPr>
        <w:t>3. Triển khai đo lường tỷ trọng kinh tế số trong GRDP của tỉnh Ninh</w:t>
      </w:r>
      <w:r>
        <w:rPr>
          <w:b/>
          <w:lang w:val="vi-VN"/>
        </w:rPr>
        <w:t xml:space="preserve"> Thuận: </w:t>
      </w:r>
      <w:r>
        <w:rPr>
          <w:bCs/>
          <w:lang w:val="vi-VN"/>
        </w:rPr>
        <w:t>T</w:t>
      </w:r>
      <w:r>
        <w:rPr>
          <w:bCs/>
        </w:rPr>
        <w:t>iến</w:t>
      </w:r>
      <w:r>
        <w:t xml:space="preserve"> hành đo lường theo năm, công bố vào tháng 10 của năm 202</w:t>
      </w:r>
      <w:r w:rsidR="0063258F">
        <w:t>4</w:t>
      </w:r>
      <w:r>
        <w:t xml:space="preserve"> và hàng năm</w:t>
      </w:r>
    </w:p>
    <w:p w:rsidR="001B3380" w:rsidRDefault="0031515B">
      <w:pPr>
        <w:widowControl w:val="0"/>
        <w:snapToGrid w:val="0"/>
        <w:spacing w:before="120"/>
        <w:ind w:firstLine="567"/>
        <w:jc w:val="both"/>
        <w:rPr>
          <w:lang w:val="vi-VN"/>
        </w:rPr>
      </w:pPr>
      <w:r>
        <w:rPr>
          <w:lang w:val="vi-VN"/>
        </w:rPr>
        <w:lastRenderedPageBreak/>
        <w:t xml:space="preserve">Đơn vị phối hợp: </w:t>
      </w:r>
      <w:r>
        <w:t>Vụ Kinh</w:t>
      </w:r>
      <w:r>
        <w:rPr>
          <w:lang w:val="vi-VN"/>
        </w:rPr>
        <w:t xml:space="preserve"> tế số và Xã hội số </w:t>
      </w:r>
      <w:r>
        <w:t>-</w:t>
      </w:r>
      <w:r>
        <w:rPr>
          <w:lang w:val="vi-VN"/>
        </w:rPr>
        <w:t xml:space="preserve"> Bộ Thông tin và Truyền thông</w:t>
      </w:r>
      <w:r>
        <w:t>.</w:t>
      </w:r>
      <w:r>
        <w:rPr>
          <w:lang w:val="vi-VN"/>
        </w:rPr>
        <w:t xml:space="preserve"> </w:t>
      </w:r>
    </w:p>
    <w:p w:rsidR="001B3380" w:rsidRDefault="0031515B">
      <w:pPr>
        <w:widowControl w:val="0"/>
        <w:snapToGrid w:val="0"/>
        <w:spacing w:before="120"/>
        <w:ind w:firstLine="567"/>
        <w:jc w:val="both"/>
      </w:pPr>
      <w:r>
        <w:rPr>
          <w:b/>
          <w:lang w:val="vi-VN"/>
        </w:rPr>
        <w:t>4</w:t>
      </w:r>
      <w:r>
        <w:rPr>
          <w:b/>
        </w:rPr>
        <w:t>. Đào tạo, tập huấn cho cán bộ, công chức, viên chức tại các cơ quan nhà nước của tỉnh Ninh</w:t>
      </w:r>
      <w:r>
        <w:rPr>
          <w:b/>
          <w:lang w:val="vi-VN"/>
        </w:rPr>
        <w:t xml:space="preserve"> Thuận </w:t>
      </w:r>
      <w:r>
        <w:rPr>
          <w:b/>
        </w:rPr>
        <w:t xml:space="preserve">về chuyển đổi số, </w:t>
      </w:r>
      <w:proofErr w:type="gramStart"/>
      <w:r>
        <w:rPr>
          <w:b/>
        </w:rPr>
        <w:t>an</w:t>
      </w:r>
      <w:proofErr w:type="gramEnd"/>
      <w:r>
        <w:rPr>
          <w:b/>
        </w:rPr>
        <w:t xml:space="preserve"> toàn thông tin:</w:t>
      </w:r>
      <w:r>
        <w:t xml:space="preserve"> tối thiểu </w:t>
      </w:r>
      <w:r>
        <w:rPr>
          <w:b/>
          <w:bCs/>
          <w:lang w:val="vi-VN"/>
        </w:rPr>
        <w:t>5</w:t>
      </w:r>
      <w:r>
        <w:rPr>
          <w:b/>
          <w:bCs/>
        </w:rPr>
        <w:t>.000</w:t>
      </w:r>
      <w:r>
        <w:t xml:space="preserve"> cán bộ, công chức, viên chức được đào tạo trong giai đoạn 2022 - 2026.</w:t>
      </w:r>
    </w:p>
    <w:p w:rsidR="001B3380" w:rsidRDefault="0031515B">
      <w:pPr>
        <w:widowControl w:val="0"/>
        <w:snapToGrid w:val="0"/>
        <w:spacing w:before="120"/>
        <w:ind w:firstLine="567"/>
        <w:jc w:val="both"/>
      </w:pPr>
      <w:r>
        <w:rPr>
          <w:lang w:val="vi-VN"/>
        </w:rPr>
        <w:t xml:space="preserve">Đơn vị phối hợp: </w:t>
      </w:r>
      <w:r>
        <w:t>Cục Chuyển</w:t>
      </w:r>
      <w:r>
        <w:rPr>
          <w:lang w:val="vi-VN"/>
        </w:rPr>
        <w:t xml:space="preserve"> đổi số quốc gia </w:t>
      </w:r>
      <w:r>
        <w:t>-</w:t>
      </w:r>
      <w:r>
        <w:rPr>
          <w:lang w:val="vi-VN"/>
        </w:rPr>
        <w:t xml:space="preserve"> Bộ Thông tin và Truyền thông</w:t>
      </w:r>
      <w:r>
        <w:t>.</w:t>
      </w:r>
    </w:p>
    <w:p w:rsidR="001B3380" w:rsidRDefault="0031515B">
      <w:pPr>
        <w:widowControl w:val="0"/>
        <w:snapToGrid w:val="0"/>
        <w:spacing w:before="120"/>
        <w:ind w:firstLine="567"/>
        <w:jc w:val="both"/>
      </w:pPr>
      <w:r>
        <w:rPr>
          <w:b/>
          <w:lang w:val="vi-VN"/>
        </w:rPr>
        <w:t>5</w:t>
      </w:r>
      <w:r>
        <w:rPr>
          <w:b/>
        </w:rPr>
        <w:t>. Tỉnh Ninh</w:t>
      </w:r>
      <w:r>
        <w:rPr>
          <w:b/>
          <w:lang w:val="vi-VN"/>
        </w:rPr>
        <w:t xml:space="preserve"> Thuận </w:t>
      </w:r>
      <w:r>
        <w:rPr>
          <w:b/>
        </w:rPr>
        <w:t xml:space="preserve">công bố các nền tảng số được lựa chọn để giải quyết các bài toán của xã hội và người dân trên địa bàn: </w:t>
      </w:r>
      <w:r>
        <w:t>hoàn thành Quý IV/202</w:t>
      </w:r>
      <w:r w:rsidR="00064CC6">
        <w:t>4</w:t>
      </w:r>
      <w:r>
        <w:t xml:space="preserve">. </w:t>
      </w:r>
    </w:p>
    <w:p w:rsidR="001B3380" w:rsidRDefault="0031515B">
      <w:pPr>
        <w:widowControl w:val="0"/>
        <w:snapToGrid w:val="0"/>
        <w:spacing w:before="120"/>
        <w:ind w:firstLine="567"/>
        <w:jc w:val="both"/>
        <w:rPr>
          <w:lang w:val="vi-VN"/>
        </w:rPr>
      </w:pPr>
      <w:r>
        <w:rPr>
          <w:lang w:val="vi-VN"/>
        </w:rPr>
        <w:t xml:space="preserve">Đơn vị phối hợp: </w:t>
      </w:r>
      <w:r>
        <w:t>Cục Chuyển</w:t>
      </w:r>
      <w:r>
        <w:rPr>
          <w:lang w:val="vi-VN"/>
        </w:rPr>
        <w:t xml:space="preserve"> đổi số quốc gia </w:t>
      </w:r>
      <w:r>
        <w:t>phối hợp với các nền tảng chính phủ số, Vụ Kinh</w:t>
      </w:r>
      <w:r>
        <w:rPr>
          <w:lang w:val="vi-VN"/>
        </w:rPr>
        <w:t xml:space="preserve"> tế số và Xã hội số </w:t>
      </w:r>
      <w:r>
        <w:t>phối hợp các nền tảng về kinh tế số, Viện Chiến lược Thông tin và Truyền thông phối hợp các nền tảng về xã hội.</w:t>
      </w:r>
    </w:p>
    <w:p w:rsidR="001B3380" w:rsidRPr="00064CC6" w:rsidRDefault="0031515B">
      <w:pPr>
        <w:spacing w:before="120"/>
        <w:ind w:firstLine="567"/>
        <w:jc w:val="both"/>
      </w:pPr>
      <w:r w:rsidRPr="00064CC6">
        <w:rPr>
          <w:b/>
          <w:bCs/>
          <w:lang w:val="vi-VN"/>
        </w:rPr>
        <w:t>6</w:t>
      </w:r>
      <w:r w:rsidRPr="00064CC6">
        <w:rPr>
          <w:b/>
          <w:bCs/>
        </w:rPr>
        <w:t xml:space="preserve">. Triển khai Tổ công nghệ số cộng đồng </w:t>
      </w:r>
      <w:r w:rsidRPr="00064CC6">
        <w:t>phù hợp với đặc thù tỉnh Ninh</w:t>
      </w:r>
      <w:r w:rsidRPr="00064CC6">
        <w:rPr>
          <w:lang w:val="vi-VN"/>
        </w:rPr>
        <w:t xml:space="preserve"> Thuận</w:t>
      </w:r>
      <w:r w:rsidRPr="00064CC6">
        <w:t>: 100% ấp/khu phố trên địa bàn tỉnh có Tổ công nghệ số cộng đồng, hoàn thành trong năm 202</w:t>
      </w:r>
      <w:r w:rsidR="00064CC6" w:rsidRPr="00064CC6">
        <w:t>4</w:t>
      </w:r>
      <w:r w:rsidRPr="00064CC6">
        <w:t>.</w:t>
      </w:r>
    </w:p>
    <w:p w:rsidR="001B3380" w:rsidRPr="00064CC6" w:rsidRDefault="0031515B">
      <w:pPr>
        <w:widowControl w:val="0"/>
        <w:snapToGrid w:val="0"/>
        <w:spacing w:before="120"/>
        <w:ind w:firstLine="567"/>
        <w:jc w:val="both"/>
      </w:pPr>
      <w:r w:rsidRPr="00064CC6">
        <w:t xml:space="preserve">- Tổ chức tập huấn, bồi dưỡng nâng cao kỹ năng số cho các Tổ công nghệ số cộng đồng. </w:t>
      </w:r>
    </w:p>
    <w:p w:rsidR="001B3380" w:rsidRPr="00064CC6" w:rsidRDefault="0031515B">
      <w:pPr>
        <w:widowControl w:val="0"/>
        <w:snapToGrid w:val="0"/>
        <w:spacing w:before="120"/>
        <w:ind w:firstLine="567"/>
        <w:jc w:val="both"/>
        <w:rPr>
          <w:lang w:val="vi-VN"/>
        </w:rPr>
      </w:pPr>
      <w:r w:rsidRPr="00064CC6">
        <w:t>- Triển khai nền tảng mạng xã hội cho các Tổ công nghệ số cộng đồng</w:t>
      </w:r>
      <w:r w:rsidRPr="00064CC6">
        <w:rPr>
          <w:lang w:val="vi-VN"/>
        </w:rPr>
        <w:t>, phục vụ chia sẻ kinh nghiệm, kiến thức triển khai.</w:t>
      </w:r>
    </w:p>
    <w:p w:rsidR="001B3380" w:rsidRPr="00064CC6" w:rsidRDefault="0031515B">
      <w:pPr>
        <w:widowControl w:val="0"/>
        <w:snapToGrid w:val="0"/>
        <w:spacing w:before="120"/>
        <w:ind w:firstLine="567"/>
        <w:jc w:val="both"/>
        <w:rPr>
          <w:b/>
        </w:rPr>
      </w:pPr>
      <w:r w:rsidRPr="00064CC6">
        <w:t>Đơn vị phối hợp: Cục</w:t>
      </w:r>
      <w:r w:rsidRPr="00064CC6">
        <w:rPr>
          <w:lang w:val="vi-VN"/>
        </w:rPr>
        <w:t xml:space="preserve"> Chuyển đổi số quốc gia </w:t>
      </w:r>
      <w:r w:rsidRPr="00064CC6">
        <w:t>- Bộ Thông tin và Truyền Thông.</w:t>
      </w:r>
    </w:p>
    <w:p w:rsidR="001B3380" w:rsidRDefault="0031515B">
      <w:pPr>
        <w:widowControl w:val="0"/>
        <w:snapToGrid w:val="0"/>
        <w:spacing w:before="120"/>
        <w:ind w:firstLine="567"/>
        <w:jc w:val="both"/>
        <w:rPr>
          <w:b/>
        </w:rPr>
      </w:pPr>
      <w:r>
        <w:rPr>
          <w:b/>
          <w:lang w:val="vi-VN"/>
        </w:rPr>
        <w:t>V. TỔ CHỨC THỰC HIỆN</w:t>
      </w:r>
    </w:p>
    <w:p w:rsidR="001B3380" w:rsidRDefault="0031515B">
      <w:pPr>
        <w:widowControl w:val="0"/>
        <w:snapToGrid w:val="0"/>
        <w:spacing w:before="120"/>
        <w:ind w:firstLine="567"/>
        <w:jc w:val="both"/>
        <w:rPr>
          <w:b/>
        </w:rPr>
      </w:pPr>
      <w:r>
        <w:rPr>
          <w:b/>
          <w:lang w:val="vi-VN"/>
        </w:rPr>
        <w:t>1.</w:t>
      </w:r>
      <w:r>
        <w:rPr>
          <w:lang w:val="vi-VN"/>
        </w:rPr>
        <w:t xml:space="preserve"> Các Bên thống nhất hợp tác và có giải pháp tích cực nhằm bảo đảm sự phối hợp có tính khả thi cao, các nội dung phối hợp sớm được thực hiện và có hiệu quả. Trên cơ sở nội dung phối hợp tại Biên bản ghi nhớ này, các đơn vị trực thuộc Bộ Thông tin và Truyền thông và Ủy ban nhân dân tỉnh Ninh Thuận chủ động xây dựng các Chương trình, Kế hoạch, Biên bản phối hợp chi tiết triển khai các nội dung của Biên bản ghi nhớ này và phối hợp để giải quyết các vướng mắc phát sinh.</w:t>
      </w:r>
    </w:p>
    <w:p w:rsidR="001B3380" w:rsidRDefault="0031515B">
      <w:pPr>
        <w:widowControl w:val="0"/>
        <w:snapToGrid w:val="0"/>
        <w:spacing w:before="120"/>
        <w:ind w:firstLine="567"/>
        <w:jc w:val="both"/>
        <w:rPr>
          <w:b/>
        </w:rPr>
      </w:pPr>
      <w:r>
        <w:rPr>
          <w:b/>
          <w:lang w:val="vi-VN"/>
        </w:rPr>
        <w:t>2.</w:t>
      </w:r>
      <w:r>
        <w:rPr>
          <w:lang w:val="vi-VN"/>
        </w:rPr>
        <w:t xml:space="preserve"> Kinh phí và nguồn nhân lực triển khai, tổ chức thực hiện các nội dung phối hợp do Bộ Thông tin và Truyền thông và Ủy ban nhân dân tỉnh Ninh Thuận tự cân đối theo quy định của pháp luật hiện hành.</w:t>
      </w:r>
    </w:p>
    <w:p w:rsidR="001B3380" w:rsidRDefault="0031515B">
      <w:pPr>
        <w:widowControl w:val="0"/>
        <w:snapToGrid w:val="0"/>
        <w:spacing w:before="120"/>
        <w:ind w:firstLine="567"/>
        <w:jc w:val="both"/>
        <w:rPr>
          <w:shd w:val="clear" w:color="auto" w:fill="FFFFFF"/>
          <w:lang w:val="vi-VN"/>
        </w:rPr>
      </w:pPr>
      <w:r>
        <w:rPr>
          <w:b/>
          <w:lang w:val="vi-VN"/>
        </w:rPr>
        <w:t>3.</w:t>
      </w:r>
      <w:r>
        <w:rPr>
          <w:lang w:val="vi-VN"/>
        </w:rPr>
        <w:t xml:space="preserve"> </w:t>
      </w:r>
      <w:r>
        <w:rPr>
          <w:shd w:val="clear" w:color="auto" w:fill="FFFFFF"/>
          <w:lang w:val="vi-VN"/>
        </w:rPr>
        <w:t xml:space="preserve">Giao Cục Chuyển đổi số quốc gia - Bộ Thông tin và Truyền thông là đơn vị đầu mối, giúp Bộ Thông tin và Truyền thông đôn đốc các cơ quan, đơn vị thuộc Bộ triển khai thực hiện các nội dung </w:t>
      </w:r>
      <w:r>
        <w:rPr>
          <w:lang w:val="vi-VN"/>
        </w:rPr>
        <w:t>phối hợp</w:t>
      </w:r>
      <w:r>
        <w:rPr>
          <w:shd w:val="clear" w:color="auto" w:fill="FFFFFF"/>
          <w:lang w:val="vi-VN"/>
        </w:rPr>
        <w:t>.</w:t>
      </w:r>
    </w:p>
    <w:p w:rsidR="001B3380" w:rsidRDefault="0031515B">
      <w:pPr>
        <w:widowControl w:val="0"/>
        <w:snapToGrid w:val="0"/>
        <w:spacing w:before="120"/>
        <w:ind w:firstLine="567"/>
        <w:jc w:val="both"/>
        <w:rPr>
          <w:b/>
        </w:rPr>
      </w:pPr>
      <w:r>
        <w:rPr>
          <w:b/>
          <w:shd w:val="clear" w:color="auto" w:fill="FFFFFF"/>
          <w:lang w:val="vi-VN"/>
        </w:rPr>
        <w:t>4.</w:t>
      </w:r>
      <w:r>
        <w:rPr>
          <w:shd w:val="clear" w:color="auto" w:fill="FFFFFF"/>
          <w:lang w:val="vi-VN"/>
        </w:rPr>
        <w:t xml:space="preserve"> Giao Sở Thông tin và Truyền thông là đơn vị đầu mối, giúp Ủy ban nhân dân tỉnh Ninh Thuận đôn đốc các cơ quan, đơn vị thuộc Ủy ban nhân dân </w:t>
      </w:r>
      <w:r>
        <w:rPr>
          <w:shd w:val="clear" w:color="auto" w:fill="FFFFFF"/>
        </w:rPr>
        <w:t>tỉnh</w:t>
      </w:r>
      <w:r>
        <w:rPr>
          <w:shd w:val="clear" w:color="auto" w:fill="FFFFFF"/>
          <w:lang w:val="vi-VN"/>
        </w:rPr>
        <w:t xml:space="preserve"> triển khai thực hiện các nội dung </w:t>
      </w:r>
      <w:r>
        <w:rPr>
          <w:lang w:val="vi-VN"/>
        </w:rPr>
        <w:t>phối hợp</w:t>
      </w:r>
      <w:r>
        <w:rPr>
          <w:shd w:val="clear" w:color="auto" w:fill="FFFFFF"/>
          <w:lang w:val="vi-VN"/>
        </w:rPr>
        <w:t>.</w:t>
      </w:r>
    </w:p>
    <w:p w:rsidR="001B3380" w:rsidRDefault="0031515B">
      <w:pPr>
        <w:widowControl w:val="0"/>
        <w:snapToGrid w:val="0"/>
        <w:spacing w:before="120"/>
        <w:ind w:firstLine="567"/>
        <w:jc w:val="both"/>
        <w:rPr>
          <w:b/>
        </w:rPr>
      </w:pPr>
      <w:r>
        <w:rPr>
          <w:b/>
          <w:bCs/>
          <w:shd w:val="clear" w:color="auto" w:fill="FFFFFF"/>
          <w:lang w:val="vi-VN"/>
        </w:rPr>
        <w:t>5.</w:t>
      </w:r>
      <w:r>
        <w:rPr>
          <w:shd w:val="clear" w:color="auto" w:fill="FFFFFF"/>
          <w:lang w:val="vi-VN"/>
        </w:rPr>
        <w:t xml:space="preserve"> Cục Chuyển đổi số quốc gia phối hợp với Sở Thông tin và Truyền thông </w:t>
      </w:r>
      <w:r>
        <w:rPr>
          <w:lang w:val="vi-VN"/>
        </w:rPr>
        <w:t>tỉnh Ninh Thuận</w:t>
      </w:r>
      <w:r>
        <w:rPr>
          <w:shd w:val="clear" w:color="auto" w:fill="FFFFFF"/>
          <w:lang w:val="vi-VN"/>
        </w:rPr>
        <w:t xml:space="preserve">tổ chức thực hiện, tổng hợp, báo cáo kết quả thực hiện các nội dung phối hợp vào cuối tháng 12 hàng năm; báo cáo Bộ Thông tin và Truyền </w:t>
      </w:r>
      <w:r>
        <w:rPr>
          <w:shd w:val="clear" w:color="auto" w:fill="FFFFFF"/>
          <w:lang w:val="vi-VN"/>
        </w:rPr>
        <w:lastRenderedPageBreak/>
        <w:t xml:space="preserve">thông và </w:t>
      </w:r>
      <w:r>
        <w:rPr>
          <w:shd w:val="clear" w:color="auto" w:fill="FFFFFF"/>
        </w:rPr>
        <w:t>Ủy</w:t>
      </w:r>
      <w:r>
        <w:rPr>
          <w:shd w:val="clear" w:color="auto" w:fill="FFFFFF"/>
          <w:lang w:val="vi-VN"/>
        </w:rPr>
        <w:t xml:space="preserve"> ban nhân dân </w:t>
      </w:r>
      <w:r>
        <w:rPr>
          <w:lang w:val="vi-VN"/>
        </w:rPr>
        <w:t xml:space="preserve">tỉnh Ninh Thuận </w:t>
      </w:r>
      <w:r>
        <w:rPr>
          <w:shd w:val="clear" w:color="auto" w:fill="FFFFFF"/>
          <w:lang w:val="vi-VN"/>
        </w:rPr>
        <w:t>về nội dung tổng kết trong năm./.</w:t>
      </w:r>
    </w:p>
    <w:p w:rsidR="001B3380" w:rsidRDefault="001B3380">
      <w:pPr>
        <w:widowControl w:val="0"/>
        <w:snapToGrid w:val="0"/>
        <w:spacing w:before="120" w:line="360" w:lineRule="exact"/>
        <w:ind w:firstLine="567"/>
        <w:jc w:val="both"/>
        <w:rPr>
          <w:shd w:val="clear" w:color="auto" w:fill="FFFFFF"/>
          <w:lang w:val="vi-VN"/>
        </w:rPr>
      </w:pPr>
    </w:p>
    <w:tbl>
      <w:tblPr>
        <w:tblW w:w="0" w:type="auto"/>
        <w:tblLook w:val="0000" w:firstRow="0" w:lastRow="0" w:firstColumn="0" w:lastColumn="0" w:noHBand="0" w:noVBand="0"/>
      </w:tblPr>
      <w:tblGrid>
        <w:gridCol w:w="4253"/>
        <w:gridCol w:w="4819"/>
      </w:tblGrid>
      <w:tr w:rsidR="001B3380">
        <w:trPr>
          <w:trHeight w:val="712"/>
        </w:trPr>
        <w:tc>
          <w:tcPr>
            <w:tcW w:w="4354" w:type="dxa"/>
          </w:tcPr>
          <w:p w:rsidR="001B3380" w:rsidRDefault="0031515B">
            <w:pPr>
              <w:tabs>
                <w:tab w:val="left" w:pos="540"/>
              </w:tabs>
              <w:jc w:val="center"/>
              <w:rPr>
                <w:b/>
                <w:bCs/>
                <w:spacing w:val="-10"/>
                <w:lang w:val="vi-VN"/>
              </w:rPr>
            </w:pPr>
            <w:r>
              <w:rPr>
                <w:b/>
                <w:bCs/>
                <w:spacing w:val="-10"/>
              </w:rPr>
              <w:t>CHỦ TỊCH</w:t>
            </w:r>
            <w:r>
              <w:rPr>
                <w:b/>
                <w:bCs/>
                <w:spacing w:val="-10"/>
                <w:lang w:val="vi-VN"/>
              </w:rPr>
              <w:t xml:space="preserve"> </w:t>
            </w:r>
            <w:r>
              <w:rPr>
                <w:b/>
                <w:bCs/>
                <w:spacing w:val="-10"/>
              </w:rPr>
              <w:t>ỦY BAN NHÂN DÂN</w:t>
            </w:r>
            <w:r>
              <w:rPr>
                <w:b/>
                <w:bCs/>
                <w:spacing w:val="-10"/>
                <w:lang w:val="vi-VN"/>
              </w:rPr>
              <w:t xml:space="preserve"> </w:t>
            </w:r>
          </w:p>
          <w:p w:rsidR="001B3380" w:rsidRDefault="0031515B">
            <w:pPr>
              <w:tabs>
                <w:tab w:val="left" w:pos="540"/>
              </w:tabs>
              <w:jc w:val="center"/>
              <w:rPr>
                <w:b/>
                <w:bCs/>
                <w:spacing w:val="-10"/>
                <w:lang w:val="vi-VN"/>
              </w:rPr>
            </w:pPr>
            <w:r>
              <w:rPr>
                <w:b/>
              </w:rPr>
              <w:t>TỈNH NINH</w:t>
            </w:r>
            <w:r>
              <w:rPr>
                <w:b/>
                <w:lang w:val="vi-VN"/>
              </w:rPr>
              <w:t xml:space="preserve"> THUẬN</w:t>
            </w:r>
          </w:p>
          <w:p w:rsidR="001B3380" w:rsidRDefault="001B3380">
            <w:pPr>
              <w:tabs>
                <w:tab w:val="left" w:pos="540"/>
              </w:tabs>
              <w:jc w:val="center"/>
              <w:rPr>
                <w:b/>
                <w:bCs/>
                <w:spacing w:val="-10"/>
                <w:lang w:val="vi-VN"/>
              </w:rPr>
            </w:pPr>
          </w:p>
        </w:tc>
        <w:tc>
          <w:tcPr>
            <w:tcW w:w="4934" w:type="dxa"/>
          </w:tcPr>
          <w:p w:rsidR="001B3380" w:rsidRDefault="0031515B">
            <w:pPr>
              <w:tabs>
                <w:tab w:val="left" w:pos="540"/>
              </w:tabs>
              <w:jc w:val="center"/>
              <w:rPr>
                <w:b/>
                <w:bCs/>
                <w:spacing w:val="-10"/>
                <w:lang w:val="vi-VN"/>
              </w:rPr>
            </w:pPr>
            <w:r>
              <w:rPr>
                <w:b/>
                <w:bCs/>
                <w:spacing w:val="-10"/>
                <w:lang w:val="vi-VN"/>
              </w:rPr>
              <w:t xml:space="preserve">THỨ TRƯỞNG </w:t>
            </w:r>
          </w:p>
          <w:p w:rsidR="001B3380" w:rsidRDefault="0031515B">
            <w:pPr>
              <w:tabs>
                <w:tab w:val="left" w:pos="540"/>
              </w:tabs>
              <w:jc w:val="center"/>
              <w:rPr>
                <w:b/>
                <w:bCs/>
                <w:spacing w:val="-10"/>
                <w:lang w:val="vi-VN"/>
              </w:rPr>
            </w:pPr>
            <w:r>
              <w:rPr>
                <w:b/>
                <w:bCs/>
                <w:spacing w:val="-10"/>
                <w:lang w:val="vi-VN"/>
              </w:rPr>
              <w:t>BỘ THÔNG TIN VÀ TRUYỀN THÔNG</w:t>
            </w:r>
          </w:p>
          <w:p w:rsidR="001B3380" w:rsidRDefault="001B3380">
            <w:pPr>
              <w:tabs>
                <w:tab w:val="left" w:pos="540"/>
              </w:tabs>
              <w:jc w:val="center"/>
              <w:rPr>
                <w:b/>
                <w:bCs/>
                <w:spacing w:val="-10"/>
                <w:lang w:val="vi-VN"/>
              </w:rPr>
            </w:pPr>
          </w:p>
        </w:tc>
      </w:tr>
    </w:tbl>
    <w:p w:rsidR="001B3380" w:rsidRDefault="001B3380">
      <w:pPr>
        <w:snapToGrid w:val="0"/>
        <w:spacing w:before="80" w:after="80"/>
        <w:ind w:firstLine="709"/>
        <w:jc w:val="both"/>
        <w:rPr>
          <w:shd w:val="clear" w:color="auto" w:fill="FFFFFF"/>
          <w:lang w:val="vi-VN"/>
        </w:rPr>
      </w:pPr>
    </w:p>
    <w:p w:rsidR="001B3380" w:rsidRDefault="001B3380">
      <w:pPr>
        <w:snapToGrid w:val="0"/>
        <w:spacing w:before="80" w:after="80"/>
        <w:ind w:firstLine="709"/>
        <w:jc w:val="both"/>
        <w:rPr>
          <w:shd w:val="clear" w:color="auto" w:fill="FFFFFF"/>
          <w:lang w:val="vi-VN"/>
        </w:rPr>
      </w:pPr>
    </w:p>
    <w:p w:rsidR="001B3380" w:rsidRDefault="001B3380"/>
    <w:sectPr w:rsidR="001B3380">
      <w:headerReference w:type="default" r:id="rId10"/>
      <w:pgSz w:w="11907" w:h="16840" w:code="9"/>
      <w:pgMar w:top="1134" w:right="1134" w:bottom="1134" w:left="1701"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A98" w:rsidRDefault="00672A98">
      <w:r>
        <w:separator/>
      </w:r>
    </w:p>
  </w:endnote>
  <w:endnote w:type="continuationSeparator" w:id="0">
    <w:p w:rsidR="00672A98" w:rsidRDefault="0067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A98" w:rsidRDefault="00672A98">
      <w:r>
        <w:separator/>
      </w:r>
    </w:p>
  </w:footnote>
  <w:footnote w:type="continuationSeparator" w:id="0">
    <w:p w:rsidR="00672A98" w:rsidRDefault="0067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80" w:rsidRDefault="0031515B">
    <w:pPr>
      <w:pStyle w:val="Header"/>
      <w:jc w:val="center"/>
    </w:pPr>
    <w:r>
      <w:fldChar w:fldCharType="begin"/>
    </w:r>
    <w:r>
      <w:instrText xml:space="preserve"> PAGE   \* MERGEFORMAT </w:instrText>
    </w:r>
    <w:r>
      <w:fldChar w:fldCharType="separate"/>
    </w:r>
    <w:r w:rsidR="00064CC6">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07C7A"/>
    <w:multiLevelType w:val="hybridMultilevel"/>
    <w:tmpl w:val="2EB8AA8C"/>
    <w:lvl w:ilvl="0" w:tplc="7C9E51CE">
      <w:start w:val="1"/>
      <w:numFmt w:val="bullet"/>
      <w:pStyle w:val="Bullet01-"/>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80"/>
    <w:rsid w:val="00064CC6"/>
    <w:rsid w:val="001B3380"/>
    <w:rsid w:val="00260B48"/>
    <w:rsid w:val="0031515B"/>
    <w:rsid w:val="0063258F"/>
    <w:rsid w:val="00672A98"/>
    <w:rsid w:val="0071079B"/>
    <w:rsid w:val="007F1767"/>
    <w:rsid w:val="0087474F"/>
    <w:rsid w:val="00A3123E"/>
    <w:rsid w:val="00B7309C"/>
    <w:rsid w:val="00BB478E"/>
    <w:rsid w:val="00D00D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A5F35-05FD-4C5E-97FE-40290BB2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240" w:after="60"/>
      <w:outlineLvl w:val="0"/>
    </w:pPr>
    <w:rPr>
      <w:rFonts w:ascii="Arial" w:eastAsiaTheme="majorEastAsia" w:hAnsi="Arial" w:cstheme="majorBidi"/>
      <w:b/>
      <w:bCs/>
      <w:kern w:val="32"/>
      <w:sz w:val="32"/>
      <w:szCs w:val="32"/>
    </w:rPr>
  </w:style>
  <w:style w:type="paragraph" w:styleId="Heading2">
    <w:name w:val="heading 2"/>
    <w:aliases w:val="l2,H2,h21,h2,mc2"/>
    <w:basedOn w:val="Normal"/>
    <w:next w:val="Normal"/>
    <w:link w:val="Heading2Char"/>
    <w:semiHidden/>
    <w:unhideWhenUsed/>
    <w:qFormat/>
    <w:pPr>
      <w:keepNext/>
      <w:spacing w:before="240" w:after="60"/>
      <w:outlineLvl w:val="1"/>
    </w:pPr>
    <w:rPr>
      <w:rFonts w:asciiTheme="majorHAnsi" w:eastAsiaTheme="majorEastAsia" w:hAnsiTheme="majorHAnsi" w:cstheme="majorBidi"/>
      <w:b/>
      <w:bCs/>
      <w:i/>
      <w:iCs/>
    </w:rPr>
  </w:style>
  <w:style w:type="paragraph" w:styleId="Heading3">
    <w:name w:val="heading 3"/>
    <w:basedOn w:val="Normal"/>
    <w:next w:val="Normal"/>
    <w:link w:val="Heading3Char"/>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Theme="minorHAnsi" w:eastAsiaTheme="minorEastAsia" w:hAnsiTheme="minorHAnsi" w:cstheme="minorBidi"/>
      <w:b/>
      <w:bCs/>
    </w:rPr>
  </w:style>
  <w:style w:type="paragraph" w:styleId="Heading8">
    <w:name w:val="heading 8"/>
    <w:basedOn w:val="Normal"/>
    <w:next w:val="Normal"/>
    <w:link w:val="Heading8Char"/>
    <w:qFormat/>
    <w:pPr>
      <w:keepNext/>
      <w:ind w:left="720"/>
      <w:outlineLvl w:val="7"/>
    </w:pPr>
    <w:rPr>
      <w:rFonts w:ascii=".VnTime" w:hAnsi=".VnTime"/>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heme="majorEastAsia" w:hAnsi="Arial" w:cstheme="majorBidi"/>
      <w:b/>
      <w:bCs/>
      <w:kern w:val="32"/>
      <w:sz w:val="32"/>
      <w:szCs w:val="32"/>
    </w:rPr>
  </w:style>
  <w:style w:type="character" w:customStyle="1" w:styleId="Heading2Char">
    <w:name w:val="Heading 2 Char"/>
    <w:aliases w:val="l2 Char,H2 Char,h21 Char,h2 Char,mc2 Char"/>
    <w:basedOn w:val="DefaultParagraphFont"/>
    <w:link w:val="Heading2"/>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Pr>
      <w:rFonts w:asciiTheme="minorHAnsi" w:eastAsiaTheme="minorEastAsia" w:hAnsiTheme="minorHAnsi" w:cstheme="minorBidi"/>
      <w:b/>
      <w:bCs/>
      <w:sz w:val="28"/>
      <w:szCs w:val="28"/>
    </w:rPr>
  </w:style>
  <w:style w:type="paragraph" w:styleId="BodyText3">
    <w:name w:val="Body Text 3"/>
    <w:basedOn w:val="Normal"/>
    <w:link w:val="BodyText3Char"/>
    <w:pPr>
      <w:spacing w:after="120" w:line="276" w:lineRule="auto"/>
    </w:pPr>
    <w:rPr>
      <w:sz w:val="16"/>
      <w:szCs w:val="16"/>
    </w:rPr>
  </w:style>
  <w:style w:type="character" w:customStyle="1" w:styleId="BodyText3Char">
    <w:name w:val="Body Text 3 Char"/>
    <w:link w:val="BodyText3"/>
    <w:rPr>
      <w:sz w:val="16"/>
      <w:szCs w:val="16"/>
    </w:rPr>
  </w:style>
  <w:style w:type="character" w:styleId="Strong">
    <w:name w:val="Strong"/>
    <w:qFormat/>
    <w:rPr>
      <w:b/>
      <w:bCs/>
    </w:rPr>
  </w:style>
  <w:style w:type="character" w:styleId="Emphasis">
    <w:name w:val="Emphasis"/>
    <w:uiPriority w:val="20"/>
    <w:qFormat/>
    <w:rPr>
      <w:i/>
      <w:iCs/>
    </w:rPr>
  </w:style>
  <w:style w:type="paragraph" w:styleId="NormalWeb">
    <w:name w:val="Normal (Web)"/>
    <w:aliases w:val="Normal (Web) Char Char Char Char Char"/>
    <w:basedOn w:val="Normal"/>
    <w:link w:val="NormalWebChar"/>
    <w:uiPriority w:val="99"/>
    <w:unhideWhenUsed/>
    <w:qFormat/>
    <w:pPr>
      <w:spacing w:before="100" w:beforeAutospacing="1" w:after="100" w:afterAutospacing="1"/>
    </w:pPr>
    <w:rPr>
      <w:sz w:val="24"/>
    </w:rPr>
  </w:style>
  <w:style w:type="character" w:customStyle="1" w:styleId="NormalWebChar">
    <w:name w:val="Normal (Web) Char"/>
    <w:aliases w:val="Normal (Web) Char Char Char Char Char Char"/>
    <w:link w:val="NormalWeb"/>
    <w:uiPriority w:val="99"/>
    <w:locked/>
    <w:rPr>
      <w:rFonts w:eastAsia="Times New Roman"/>
      <w:spacing w:val="0"/>
      <w:kern w:val="0"/>
      <w:sz w:val="24"/>
    </w:rPr>
  </w:style>
  <w:style w:type="paragraph" w:styleId="NoSpacing">
    <w:name w:val="No Spacing"/>
    <w:uiPriority w:val="1"/>
    <w:qFormat/>
    <w:rPr>
      <w:sz w:val="28"/>
      <w:szCs w:val="28"/>
    </w:rPr>
  </w:style>
  <w:style w:type="paragraph" w:styleId="ListParagraph">
    <w:name w:val="List Paragraph"/>
    <w:aliases w:val="VNA - List Paragraph,1.,Norm,abc,lp_,Table Sequence,lp1,lp11,Bullet List,FooterText,numbered,Paragraphe de liste,Medium Grid 1 - Accent 21,bullet,HPL01,List A,List Paragraph level1,ANNEX,Cấp,Cấp1,P1,Paragraphe de liste1,thu,Paragraph,1"/>
    <w:basedOn w:val="Normal"/>
    <w:qFormat/>
    <w:pPr>
      <w:spacing w:after="120"/>
      <w:ind w:firstLine="567"/>
      <w:jc w:val="both"/>
    </w:pPr>
  </w:style>
  <w:style w:type="character" w:styleId="SubtleEmphasis">
    <w:name w:val="Subtle Emphasis"/>
    <w:basedOn w:val="DefaultParagraphFont"/>
    <w:uiPriority w:val="19"/>
    <w:qFormat/>
    <w:rPr>
      <w:i/>
      <w:iCs/>
      <w:color w:val="808080" w:themeColor="text1" w:themeTint="7F"/>
    </w:rPr>
  </w:style>
  <w:style w:type="paragraph" w:styleId="TOCHeading">
    <w:name w:val="TOC Heading"/>
    <w:basedOn w:val="Heading1"/>
    <w:next w:val="Normal"/>
    <w:uiPriority w:val="39"/>
    <w:semiHidden/>
    <w:unhideWhenUsed/>
    <w:qFormat/>
    <w:pPr>
      <w:outlineLvl w:val="9"/>
    </w:pPr>
    <w:rPr>
      <w:rFonts w:asciiTheme="majorHAnsi" w:hAnsiTheme="majorHAnsi"/>
    </w:rPr>
  </w:style>
  <w:style w:type="paragraph" w:customStyle="1" w:styleId="Bullet01-">
    <w:name w:val="Bullet01-"/>
    <w:basedOn w:val="Normal"/>
    <w:pPr>
      <w:numPr>
        <w:numId w:val="2"/>
      </w:numPr>
      <w:spacing w:before="120" w:after="120" w:line="360" w:lineRule="atLeast"/>
      <w:jc w:val="both"/>
    </w:pPr>
    <w:rPr>
      <w:rFonts w:cstheme="minorBidi"/>
      <w:szCs w:val="22"/>
    </w:rPr>
  </w:style>
  <w:style w:type="paragraph" w:customStyle="1" w:styleId="NormalLv1">
    <w:name w:val="Normal Lv1"/>
    <w:basedOn w:val="Normal"/>
    <w:pPr>
      <w:spacing w:before="120" w:after="120" w:line="360" w:lineRule="atLeast"/>
      <w:ind w:firstLine="720"/>
      <w:jc w:val="both"/>
    </w:pPr>
    <w:rPr>
      <w:rFonts w:cstheme="minorBidi"/>
      <w:szCs w:val="22"/>
    </w:rPr>
  </w:style>
  <w:style w:type="paragraph" w:customStyle="1" w:styleId="Heading11">
    <w:name w:val="Heading 11"/>
    <w:basedOn w:val="Normal"/>
    <w:next w:val="Normal"/>
    <w:uiPriority w:val="9"/>
    <w:pPr>
      <w:keepNext/>
      <w:keepLines/>
      <w:spacing w:before="240" w:line="259" w:lineRule="auto"/>
      <w:outlineLvl w:val="0"/>
    </w:pPr>
    <w:rPr>
      <w:rFonts w:ascii="Calibri Light" w:hAnsi="Calibri Light"/>
      <w:color w:val="2F5496"/>
      <w:sz w:val="32"/>
      <w:szCs w:val="32"/>
    </w:rPr>
  </w:style>
  <w:style w:type="paragraph" w:customStyle="1" w:styleId="ListParagraph1">
    <w:name w:val="List Paragraph1"/>
    <w:aliases w:val="List Paragraph 1,bullet 1,Bullet L1,List Paragraph11"/>
    <w:basedOn w:val="Normal"/>
    <w:link w:val="ListParagraphChar"/>
    <w:uiPriority w:val="34"/>
    <w:pPr>
      <w:ind w:left="720"/>
      <w:contextualSpacing/>
    </w:pPr>
    <w:rPr>
      <w:rFonts w:ascii=".VnTime" w:hAnsi=".VnTime"/>
      <w:szCs w:val="20"/>
    </w:rPr>
  </w:style>
  <w:style w:type="character" w:customStyle="1" w:styleId="ListParagraphChar">
    <w:name w:val="List Paragraph Char"/>
    <w:aliases w:val="List Paragraph1 Char,List Paragraph 1 Char,bullet 1 Char,Bullet L1 Char,List Paragraph11 Char,VNA - List Paragraph Char,1. Char,Norm Char,abc Char,lp_ Char,Table Sequence Char,lp1 Char,lp11 Char,Bullet List Char,FooterText Char"/>
    <w:link w:val="ListParagraph1"/>
    <w:uiPriority w:val="34"/>
    <w:qFormat/>
    <w:locked/>
    <w:rPr>
      <w:rFonts w:ascii=".VnTime" w:eastAsia="Times New Roman" w:hAnsi=".VnTime"/>
      <w:spacing w:val="0"/>
      <w:kern w:val="0"/>
      <w:szCs w:val="20"/>
    </w:rPr>
  </w:style>
  <w:style w:type="paragraph" w:customStyle="1" w:styleId="TOCHeading1">
    <w:name w:val="TOC Heading1"/>
    <w:basedOn w:val="Heading1"/>
    <w:next w:val="Normal"/>
    <w:uiPriority w:val="39"/>
    <w:unhideWhenUsed/>
    <w:rPr>
      <w:rFonts w:eastAsia="Times New Roman" w:cs="Times New Roman"/>
    </w:rPr>
  </w:style>
  <w:style w:type="character" w:customStyle="1" w:styleId="SubtleEmphasis1">
    <w:name w:val="Subtle Emphasis1"/>
    <w:basedOn w:val="DefaultParagraphFont"/>
    <w:uiPriority w:val="19"/>
    <w:rPr>
      <w:i/>
      <w:iCs/>
      <w:color w:val="404040"/>
    </w:rPr>
  </w:style>
  <w:style w:type="character" w:customStyle="1" w:styleId="Heading8Char">
    <w:name w:val="Heading 8 Char"/>
    <w:link w:val="Heading8"/>
    <w:rPr>
      <w:rFonts w:ascii=".VnTime" w:hAnsi=".VnTime"/>
      <w:b/>
      <w:i/>
      <w:sz w:val="24"/>
    </w:rPr>
  </w:style>
  <w:style w:type="paragraph" w:customStyle="1" w:styleId="BodyText1">
    <w:name w:val="Body Text1"/>
    <w:basedOn w:val="Normal"/>
    <w:qFormat/>
    <w:pPr>
      <w:widowControl w:val="0"/>
      <w:spacing w:after="100" w:line="276" w:lineRule="auto"/>
      <w:ind w:firstLine="400"/>
    </w:pPr>
    <w:rPr>
      <w:color w:val="000000"/>
      <w:sz w:val="26"/>
      <w:szCs w:val="26"/>
      <w:lang w:val="vi-VN" w:eastAsia="vi-VN" w:bidi="vi-V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sz w:val="28"/>
      <w:szCs w:val="28"/>
    </w:rPr>
  </w:style>
  <w:style w:type="character" w:customStyle="1" w:styleId="ParaChar">
    <w:name w:val="Para Char"/>
    <w:link w:val="Para"/>
    <w:qFormat/>
    <w:locked/>
    <w:rPr>
      <w:sz w:val="28"/>
      <w:szCs w:val="22"/>
    </w:rPr>
  </w:style>
  <w:style w:type="paragraph" w:customStyle="1" w:styleId="Para">
    <w:name w:val="Para"/>
    <w:basedOn w:val="Normal"/>
    <w:link w:val="ParaChar"/>
    <w:qFormat/>
    <w:pPr>
      <w:widowControl w:val="0"/>
      <w:spacing w:before="120" w:line="244" w:lineRule="auto"/>
      <w:ind w:firstLine="720"/>
      <w:jc w:val="both"/>
    </w:pPr>
    <w:rPr>
      <w:szCs w:val="22"/>
    </w:rPr>
  </w:style>
  <w:style w:type="paragraph" w:customStyle="1" w:styleId="Default">
    <w:name w:val="Default"/>
    <w:pPr>
      <w:suppressAutoHyphens/>
    </w:pPr>
    <w:rPr>
      <w:rFonts w:eastAsia="MS Mincho"/>
      <w:color w:val="000000"/>
      <w:kern w:val="1"/>
      <w:sz w:val="24"/>
      <w:szCs w:val="24"/>
      <w:lang w:eastAsia="ja-JP"/>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rsid w:val="00BB478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6E6B893-17C1-485B-BF5B-B9A7FFBD7F35}">
  <ds:schemaRefs>
    <ds:schemaRef ds:uri="http://schemas.openxmlformats.org/officeDocument/2006/bibliography"/>
  </ds:schemaRefs>
</ds:datastoreItem>
</file>

<file path=customXml/itemProps2.xml><?xml version="1.0" encoding="utf-8"?>
<ds:datastoreItem xmlns:ds="http://schemas.openxmlformats.org/officeDocument/2006/customXml" ds:itemID="{10554754-61D2-44DC-95BB-77261AAA7FFB}"/>
</file>

<file path=customXml/itemProps3.xml><?xml version="1.0" encoding="utf-8"?>
<ds:datastoreItem xmlns:ds="http://schemas.openxmlformats.org/officeDocument/2006/customXml" ds:itemID="{6D3FFE93-4EB9-49B4-A212-3BABBFC1F371}"/>
</file>

<file path=customXml/itemProps4.xml><?xml version="1.0" encoding="utf-8"?>
<ds:datastoreItem xmlns:ds="http://schemas.openxmlformats.org/officeDocument/2006/customXml" ds:itemID="{6C9A21C1-877E-4AF6-86A3-AA6EE7F51693}"/>
</file>

<file path=docProps/app.xml><?xml version="1.0" encoding="utf-8"?>
<Properties xmlns="http://schemas.openxmlformats.org/officeDocument/2006/extended-properties" xmlns:vt="http://schemas.openxmlformats.org/officeDocument/2006/docPropsVTypes">
  <Template>Normal</Template>
  <TotalTime>0</TotalTime>
  <Pages>7</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dcterms:created xsi:type="dcterms:W3CDTF">2024-03-18T22:57:00Z</dcterms:created>
  <dcterms:modified xsi:type="dcterms:W3CDTF">2024-03-18T22:57:00Z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